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and last name: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b/>
                <w:bCs/>
                <w:sz w:val="14"/>
                <w:szCs w:val="20"/>
                <w:lang w:val="en-GB"/>
              </w:rPr>
              <w:t>Vladislav Zekić</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title:</w:t>
            </w:r>
          </w:p>
        </w:tc>
        <w:tc>
          <w:tcPr>
            <w:tcW w:w="497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Associate Professor</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of the institution where the teacher works full time and starting date: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University of Novi Sad, Faculty of Agriculture</w:t>
            </w:r>
          </w:p>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13</w:t>
            </w:r>
            <w:r w:rsidRPr="00256AA9">
              <w:rPr>
                <w:rFonts w:ascii="Times New Roman" w:eastAsia="Times New Roman" w:hAnsi="Times New Roman" w:cs="Times New Roman"/>
                <w:color w:val="000000"/>
                <w:sz w:val="14"/>
                <w:szCs w:val="20"/>
                <w:vertAlign w:val="superscript"/>
                <w:lang w:val="en-GB"/>
              </w:rPr>
              <w:t>th</w:t>
            </w:r>
            <w:r w:rsidRPr="00256AA9">
              <w:rPr>
                <w:rFonts w:ascii="Times New Roman" w:eastAsia="Times New Roman" w:hAnsi="Times New Roman" w:cs="Times New Roman"/>
                <w:color w:val="000000"/>
                <w:sz w:val="14"/>
                <w:szCs w:val="20"/>
                <w:lang w:val="en-GB"/>
              </w:rPr>
              <w:t xml:space="preserve"> June, 2006</w:t>
            </w:r>
          </w:p>
        </w:tc>
      </w:tr>
      <w:tr w:rsidR="00256AA9" w:rsidRPr="00256AA9" w:rsidTr="003E5744">
        <w:tc>
          <w:tcPr>
            <w:tcW w:w="4821" w:type="dxa"/>
            <w:gridSpan w:val="8"/>
            <w:tcBorders>
              <w:bottom w:val="single" w:sz="4" w:space="0" w:color="auto"/>
            </w:tcBorders>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Scientific or art field:</w:t>
            </w:r>
          </w:p>
        </w:tc>
        <w:tc>
          <w:tcPr>
            <w:tcW w:w="4979" w:type="dxa"/>
            <w:gridSpan w:val="5"/>
            <w:tcBorders>
              <w:bottom w:val="single" w:sz="4" w:space="0" w:color="auto"/>
            </w:tcBorders>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Accounting and Farm Economics</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career</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1204" w:type="dxa"/>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Year</w:t>
            </w:r>
          </w:p>
        </w:tc>
        <w:tc>
          <w:tcPr>
            <w:tcW w:w="3683"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Institution</w:t>
            </w:r>
          </w:p>
        </w:tc>
        <w:tc>
          <w:tcPr>
            <w:tcW w:w="2904" w:type="dxa"/>
            <w:gridSpan w:val="2"/>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Field</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Academic title election: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PhD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Specialization: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Magister’s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2000</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Borders>
              <w:bottom w:val="single" w:sz="4" w:space="0" w:color="auto"/>
            </w:tcBorders>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Bachelor's thesis</w:t>
            </w:r>
          </w:p>
        </w:tc>
        <w:tc>
          <w:tcPr>
            <w:tcW w:w="1204" w:type="dxa"/>
            <w:tcBorders>
              <w:bottom w:val="single" w:sz="4" w:space="0" w:color="auto"/>
            </w:tcBorders>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1997</w:t>
            </w:r>
          </w:p>
        </w:tc>
        <w:tc>
          <w:tcPr>
            <w:tcW w:w="3683" w:type="dxa"/>
            <w:gridSpan w:val="5"/>
            <w:tcBorders>
              <w:bottom w:val="single" w:sz="4" w:space="0" w:color="auto"/>
            </w:tcBorders>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Borders>
              <w:bottom w:val="single" w:sz="4" w:space="0" w:color="auto"/>
            </w:tcBorders>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9800" w:type="dxa"/>
            <w:gridSpan w:val="13"/>
            <w:shd w:val="clear" w:color="auto" w:fill="C2D69B"/>
            <w:vAlign w:val="center"/>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List of courses being held by the teacher in the accredited study programmes</w:t>
            </w:r>
          </w:p>
        </w:tc>
      </w:tr>
      <w:tr w:rsidR="00256AA9" w:rsidRPr="00256AA9" w:rsidTr="003E5744">
        <w:tc>
          <w:tcPr>
            <w:tcW w:w="532" w:type="dxa"/>
            <w:gridSpan w:val="2"/>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794" w:type="dxa"/>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ID</w:t>
            </w:r>
          </w:p>
        </w:tc>
        <w:tc>
          <w:tcPr>
            <w:tcW w:w="3662" w:type="dxa"/>
            <w:gridSpan w:val="6"/>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Course name</w:t>
            </w:r>
          </w:p>
        </w:tc>
        <w:tc>
          <w:tcPr>
            <w:tcW w:w="3396" w:type="dxa"/>
            <w:gridSpan w:val="3"/>
            <w:shd w:val="clear" w:color="auto" w:fill="C2D69B"/>
            <w:vAlign w:val="center"/>
          </w:tcPr>
          <w:p w:rsidR="00256AA9" w:rsidRPr="00256AA9" w:rsidRDefault="00256AA9" w:rsidP="00256AA9">
            <w:pPr>
              <w:spacing w:after="0" w:line="228" w:lineRule="auto"/>
              <w:ind w:left="-107" w:right="-138"/>
              <w:jc w:val="left"/>
              <w:rPr>
                <w:rFonts w:ascii="Arial" w:eastAsia="Times New Roman" w:hAnsi="Arial" w:cs="Arial"/>
                <w:sz w:val="14"/>
                <w:szCs w:val="16"/>
                <w:lang w:val="en-GB"/>
              </w:rPr>
            </w:pPr>
            <w:r w:rsidRPr="00256AA9">
              <w:rPr>
                <w:rFonts w:ascii="Arial" w:eastAsia="Times New Roman" w:hAnsi="Arial" w:cs="Arial"/>
                <w:sz w:val="14"/>
                <w:szCs w:val="16"/>
                <w:lang w:val="en-GB"/>
              </w:rPr>
              <w:t>Study programme name, study type</w:t>
            </w:r>
          </w:p>
        </w:tc>
        <w:tc>
          <w:tcPr>
            <w:tcW w:w="1416" w:type="dxa"/>
            <w:shd w:val="clear" w:color="auto" w:fill="C2D69B"/>
            <w:vAlign w:val="center"/>
          </w:tcPr>
          <w:p w:rsidR="00256AA9" w:rsidRPr="00256AA9" w:rsidRDefault="00256AA9" w:rsidP="00256AA9">
            <w:pPr>
              <w:spacing w:after="0" w:line="228" w:lineRule="auto"/>
              <w:ind w:left="-108" w:right="-109"/>
              <w:jc w:val="left"/>
              <w:rPr>
                <w:rFonts w:ascii="Arial" w:eastAsia="Times New Roman" w:hAnsi="Arial" w:cs="Arial"/>
                <w:sz w:val="14"/>
                <w:szCs w:val="16"/>
                <w:lang w:val="en-GB"/>
              </w:rPr>
            </w:pPr>
            <w:r w:rsidRPr="00256AA9">
              <w:rPr>
                <w:rFonts w:ascii="Arial" w:eastAsia="Times New Roman" w:hAnsi="Arial" w:cs="Arial"/>
                <w:sz w:val="14"/>
                <w:szCs w:val="16"/>
                <w:lang w:val="en-GB"/>
              </w:rPr>
              <w:t>Number of active teaching classes</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1.</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3ORT4O17</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Calculations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Crop Science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3ОHК5I4 1</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Enterprise Economics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Agri-industrial Engineering, Agricultural Engineering, Horticulture (UAS)</w:t>
            </w:r>
          </w:p>
          <w:p w:rsidR="00256AA9" w:rsidRPr="00256AA9" w:rsidRDefault="00256AA9" w:rsidP="00256AA9">
            <w:pPr>
              <w:spacing w:after="0" w:line="228" w:lineRule="auto"/>
              <w:ind w:left="-108" w:right="-134"/>
              <w:jc w:val="left"/>
              <w:rPr>
                <w:rFonts w:ascii="Arial" w:eastAsia="Times New Roman" w:hAnsi="Arial" w:cs="Arial"/>
                <w:sz w:val="14"/>
                <w:szCs w:val="16"/>
                <w:lang w:val="en-GB"/>
              </w:rPr>
            </w:pP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3.</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3ОАЕ6I46</w:t>
            </w:r>
          </w:p>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7ОАТ6О26</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bCs/>
                <w:sz w:val="14"/>
                <w:szCs w:val="16"/>
                <w:lang w:val="en-GB"/>
              </w:rPr>
              <w:t>Investments in Tourism</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Agricultural Economics, 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4+0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4.</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7ОАТ8О33</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Economics of Tourism Organisations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5.</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3ОАЕ6О27</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Evaluation in Agriculture</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6.</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3ОАЕ5О21</w:t>
            </w:r>
          </w:p>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7ОАТ5О22</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Calculations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0+2</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3МАЕ1I14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Specific Forms of Agricultural Financing</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8.</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2МRR2I44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PROJECTING AND MANAGING INVESTMENTS IN RURAL DEVELOPMENT</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Agritourism and Rural Development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Representative references (minimum 5, not more than 10)</w:t>
            </w:r>
          </w:p>
        </w:tc>
      </w:tr>
      <w:tr w:rsidR="00256AA9" w:rsidRPr="00256AA9" w:rsidTr="003E5744">
        <w:tc>
          <w:tcPr>
            <w:tcW w:w="396" w:type="dxa"/>
          </w:tcPr>
          <w:p w:rsidR="00256AA9" w:rsidRPr="00256AA9" w:rsidRDefault="00256AA9" w:rsidP="00256AA9">
            <w:pPr>
              <w:numPr>
                <w:ilvl w:val="0"/>
                <w:numId w:val="1"/>
              </w:numPr>
              <w:spacing w:after="0" w:line="228" w:lineRule="auto"/>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Ranogajec Jonjaua, Radeka Miroslava, Tica N., Bačkalić Z., Milić D. (2012): Valuation of investment in processing plant for waste from ceramic brick and tile industry, Technics Technologies Education Management-TTEM, 7, 1, 67-73, ISSN: 1840-1503.</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Denčić S., Pejin Dusanka, Zekić V., Mojović Ljiljana, Pejin Jelena, Vukoje V., Nikolić Svetlana (2012): Comparison of the Costs of Bioethanol Production from Triticale, Wheat and Maize, ROMANIAN AGRICULTURAL RESEARCH, (2012), vol. 29 br. , p. 261-269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Tica, N.: (2010). Ekonomska opravdanost korišćenja žetvenih ostataka kao izvora energije, Monografija, Poljoprivredni fakultet, Novi Sad;</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Vladislav Zekić, Vesna Rodić, Milenko Jovanović (2010): Potentials and economic viability of small grain residue use as a source of energy in Serbia, Biomass and bioenergy, doi:10.1016/j.biombioe.2010.07.012, vol. 34 br.12, p. 1789 – 1795;</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Rodić Vesna, Tica N., Vukoje V. (2010): Economic indicators of straw briquettes production - the case study from Serbia, Technics Technologies Education Management, DRUNPP, (2010), vol. 5 br. 1, 245 – 250;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 xml:space="preserve">Summary data for the teacher's scientific or art and professional activity: </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Quotation total: </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26</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Total of SCI (SSCI) list papers:</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9</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Current projects:</w:t>
            </w:r>
          </w:p>
        </w:tc>
        <w:tc>
          <w:tcPr>
            <w:tcW w:w="1985"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Domestic:  3</w:t>
            </w:r>
          </w:p>
        </w:tc>
        <w:tc>
          <w:tcPr>
            <w:tcW w:w="3592"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International:</w:t>
            </w:r>
          </w:p>
        </w:tc>
      </w:tr>
      <w:tr w:rsidR="00256AA9" w:rsidRPr="00256AA9" w:rsidTr="003E5744">
        <w:tc>
          <w:tcPr>
            <w:tcW w:w="1335" w:type="dxa"/>
            <w:gridSpan w:val="4"/>
            <w:vAlign w:val="center"/>
          </w:tcPr>
          <w:p w:rsidR="00256AA9" w:rsidRPr="00256AA9" w:rsidRDefault="00256AA9" w:rsidP="00256AA9">
            <w:pPr>
              <w:spacing w:after="0" w:line="228" w:lineRule="auto"/>
              <w:ind w:right="-90"/>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Specialization </w:t>
            </w:r>
          </w:p>
        </w:tc>
        <w:tc>
          <w:tcPr>
            <w:tcW w:w="8465" w:type="dxa"/>
            <w:gridSpan w:val="9"/>
          </w:tcPr>
          <w:p w:rsidR="00256AA9" w:rsidRPr="00256AA9" w:rsidRDefault="00256AA9" w:rsidP="00256AA9">
            <w:pPr>
              <w:spacing w:after="0" w:line="228" w:lineRule="auto"/>
              <w:ind w:left="-108" w:right="-109"/>
              <w:jc w:val="both"/>
              <w:rPr>
                <w:rFonts w:ascii="Arial" w:eastAsia="Times New Roman" w:hAnsi="Arial" w:cs="Arial"/>
                <w:color w:val="000000"/>
                <w:sz w:val="14"/>
                <w:szCs w:val="16"/>
                <w:lang w:val="en-GB"/>
              </w:rPr>
            </w:pP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0A" w:rsidRDefault="00414A0A" w:rsidP="00FB6DF4">
      <w:pPr>
        <w:spacing w:after="0"/>
      </w:pPr>
      <w:r>
        <w:separator/>
      </w:r>
    </w:p>
  </w:endnote>
  <w:endnote w:type="continuationSeparator" w:id="1">
    <w:p w:rsidR="00414A0A" w:rsidRDefault="00414A0A" w:rsidP="00FB6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0A" w:rsidRDefault="00414A0A" w:rsidP="00FB6DF4">
      <w:pPr>
        <w:spacing w:after="0"/>
      </w:pPr>
      <w:r>
        <w:separator/>
      </w:r>
    </w:p>
  </w:footnote>
  <w:footnote w:type="continuationSeparator" w:id="1">
    <w:p w:rsidR="00414A0A" w:rsidRDefault="00414A0A" w:rsidP="00FB6D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414A0A"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414A0A"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414A0A" w:rsidP="00424DC2">
          <w:pPr>
            <w:spacing w:after="0"/>
            <w:jc w:val="center"/>
            <w:rPr>
              <w:rFonts w:ascii="Times New Roman" w:eastAsia="Times New Roman" w:hAnsi="Times New Roman" w:cs="Times New Roman"/>
              <w:sz w:val="16"/>
              <w:szCs w:val="16"/>
              <w:lang w:val="en-GB"/>
            </w:rPr>
          </w:pPr>
        </w:p>
        <w:p w:rsidR="00424DC2" w:rsidRPr="00424DC2" w:rsidRDefault="00EE5748" w:rsidP="00424DC2">
          <w:pPr>
            <w:spacing w:after="0"/>
            <w:jc w:val="center"/>
            <w:rPr>
              <w:rFonts w:ascii="Arial" w:eastAsia="Times New Roman" w:hAnsi="Arial" w:cs="Arial"/>
              <w:sz w:val="18"/>
              <w:szCs w:val="18"/>
              <w:lang w:val="en-GB"/>
            </w:rPr>
          </w:pPr>
          <w:r w:rsidRPr="00EE5748">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414A0A" w:rsidP="00424DC2">
          <w:pPr>
            <w:spacing w:after="0"/>
            <w:jc w:val="center"/>
            <w:rPr>
              <w:rFonts w:ascii="Arial" w:eastAsia="Times New Roman" w:hAnsi="Arial" w:cs="Arial"/>
              <w:sz w:val="16"/>
              <w:szCs w:val="16"/>
              <w:lang w:val="en-GB"/>
            </w:rPr>
          </w:pPr>
        </w:p>
      </w:tc>
      <w:tc>
        <w:tcPr>
          <w:tcW w:w="658" w:type="pct"/>
          <w:vMerge/>
        </w:tcPr>
        <w:p w:rsidR="00424DC2" w:rsidRPr="00424DC2" w:rsidRDefault="00414A0A"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414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256AA9"/>
    <w:rsid w:val="00414A0A"/>
    <w:rsid w:val="00474BCC"/>
    <w:rsid w:val="007A479D"/>
    <w:rsid w:val="007E7597"/>
    <w:rsid w:val="00884F99"/>
    <w:rsid w:val="00B22403"/>
    <w:rsid w:val="00C25483"/>
    <w:rsid w:val="00CD2145"/>
    <w:rsid w:val="00D65D93"/>
    <w:rsid w:val="00D7497A"/>
    <w:rsid w:val="00EE5748"/>
    <w:rsid w:val="00FB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EE5748"/>
    <w:pPr>
      <w:tabs>
        <w:tab w:val="center" w:pos="4703"/>
        <w:tab w:val="right" w:pos="9406"/>
      </w:tabs>
      <w:spacing w:after="0"/>
    </w:pPr>
  </w:style>
  <w:style w:type="character" w:customStyle="1" w:styleId="FooterChar">
    <w:name w:val="Footer Char"/>
    <w:basedOn w:val="DefaultParagraphFont"/>
    <w:link w:val="Footer"/>
    <w:uiPriority w:val="99"/>
    <w:semiHidden/>
    <w:rsid w:val="00EE5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2015-01-21T17:59:00Z</dcterms:modified>
</cp:coreProperties>
</file>