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743"/>
        <w:gridCol w:w="1408"/>
        <w:gridCol w:w="280"/>
        <w:gridCol w:w="1131"/>
        <w:gridCol w:w="558"/>
        <w:gridCol w:w="730"/>
        <w:gridCol w:w="1095"/>
        <w:gridCol w:w="1404"/>
        <w:gridCol w:w="425"/>
        <w:gridCol w:w="706"/>
        <w:gridCol w:w="1142"/>
      </w:tblGrid>
      <w:tr w:rsidR="009E2BF4" w:rsidTr="00EA0F51">
        <w:trPr>
          <w:trHeight w:val="420"/>
        </w:trPr>
        <w:tc>
          <w:tcPr>
            <w:tcW w:w="2151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471" w:type="dxa"/>
            <w:gridSpan w:val="9"/>
            <w:vMerge w:val="restart"/>
            <w:vAlign w:val="center"/>
          </w:tcPr>
          <w:p w:rsidR="009E2BF4" w:rsidRPr="00EA0F51" w:rsidRDefault="001A0164" w:rsidP="005229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WATER RESOURCES MANAGEMENT </w:t>
            </w:r>
          </w:p>
        </w:tc>
      </w:tr>
      <w:tr w:rsidR="009E2BF4" w:rsidTr="00EA0F51">
        <w:tc>
          <w:tcPr>
            <w:tcW w:w="2151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471" w:type="dxa"/>
            <w:gridSpan w:val="9"/>
            <w:vMerge/>
          </w:tcPr>
          <w:p w:rsidR="009E2BF4" w:rsidRPr="00EA0F51" w:rsidRDefault="009E2BF4" w:rsidP="001312B9">
            <w:pPr>
              <w:rPr>
                <w:sz w:val="16"/>
                <w:szCs w:val="16"/>
              </w:rPr>
            </w:pPr>
          </w:p>
        </w:tc>
      </w:tr>
      <w:tr w:rsidR="009E2BF4" w:rsidTr="00EA0F51">
        <w:tc>
          <w:tcPr>
            <w:tcW w:w="2151" w:type="dxa"/>
            <w:gridSpan w:val="2"/>
            <w:vAlign w:val="center"/>
          </w:tcPr>
          <w:p w:rsidR="009E2BF4" w:rsidRPr="009E2BF4" w:rsidRDefault="009E2BF4" w:rsidP="0067508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675084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471" w:type="dxa"/>
            <w:gridSpan w:val="9"/>
            <w:vMerge/>
          </w:tcPr>
          <w:p w:rsidR="009E2BF4" w:rsidRPr="00EA0F51" w:rsidRDefault="009E2BF4" w:rsidP="001312B9">
            <w:pPr>
              <w:rPr>
                <w:sz w:val="16"/>
                <w:szCs w:val="16"/>
              </w:rPr>
            </w:pPr>
          </w:p>
        </w:tc>
      </w:tr>
      <w:tr w:rsidR="002611DF" w:rsidTr="00EA0F51">
        <w:tc>
          <w:tcPr>
            <w:tcW w:w="2151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471" w:type="dxa"/>
            <w:gridSpan w:val="9"/>
          </w:tcPr>
          <w:p w:rsidR="002611DF" w:rsidRPr="00EA0F51" w:rsidRDefault="00EA0F51" w:rsidP="001312B9">
            <w:pPr>
              <w:rPr>
                <w:b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/>
                <w:sz w:val="16"/>
                <w:szCs w:val="16"/>
              </w:rPr>
              <w:t>Bojan Srdjevic, Zorica Srdjevic</w:t>
            </w:r>
          </w:p>
        </w:tc>
      </w:tr>
      <w:tr w:rsidR="00DF0ABC" w:rsidTr="00EA0F51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471" w:type="dxa"/>
            <w:gridSpan w:val="9"/>
            <w:tcBorders>
              <w:bottom w:val="single" w:sz="4" w:space="0" w:color="auto"/>
            </w:tcBorders>
          </w:tcPr>
          <w:p w:rsidR="00DF0ABC" w:rsidRDefault="0052299F" w:rsidP="001312B9">
            <w:r>
              <w:rPr>
                <w:sz w:val="18"/>
                <w:szCs w:val="18"/>
              </w:rPr>
              <w:t>Obligatory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675084" w:rsidTr="00EA0F51">
        <w:trPr>
          <w:trHeight w:val="227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522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A0F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522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A0F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EA0F51">
        <w:tc>
          <w:tcPr>
            <w:tcW w:w="2151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471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A0F5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A0F51" w:rsidRDefault="00EA0F51" w:rsidP="004C5BFA">
            <w:pPr>
              <w:rPr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topic will give an understanding and an introduction to water </w:t>
            </w:r>
            <w:r w:rsidR="004C5BF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resources 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management</w:t>
            </w:r>
            <w:r w:rsidR="004C5BFA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On successful completion of this subject, the students should: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a) have acquired understanding of concept and importance of water resources planning and management with focus on agricultural water needs;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b) have acquired basic knowledge of a number of methods and tools in water management; </w:t>
            </w:r>
          </w:p>
          <w:p w:rsidR="00EA0F51" w:rsidRPr="00EA0F51" w:rsidRDefault="008B56DC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) be able to identify suitable methods and tools for solving water allocation problems;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d) be able to critically assess research results; </w:t>
            </w:r>
          </w:p>
          <w:p w:rsidR="005E42D1" w:rsidRDefault="00EA0F51" w:rsidP="00060A6C">
            <w:pPr>
              <w:jc w:val="both"/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e) </w:t>
            </w:r>
            <w:proofErr w:type="gramStart"/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>improve</w:t>
            </w:r>
            <w:proofErr w:type="gramEnd"/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 skills for independent learning, reporting and presentation</w:t>
            </w:r>
            <w:r w:rsidR="00060A6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EA0F51" w:rsidP="00B86890"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Introduction. </w:t>
            </w:r>
            <w:r w:rsidR="00060A6C">
              <w:rPr>
                <w:rFonts w:ascii="Calibri" w:eastAsia="Calibri" w:hAnsi="Calibri" w:cs="Times New Roman"/>
                <w:bCs/>
                <w:sz w:val="16"/>
                <w:szCs w:val="16"/>
              </w:rPr>
              <w:t>Pl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anning and control of water and related resources. </w:t>
            </w:r>
            <w:r w:rsidR="009611E2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Modeling of water resources (surface water, ground water, integrated waters).</w:t>
            </w:r>
            <w:r w:rsidR="009611E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Small, medium and large spatiotemporal scales. </w:t>
            </w:r>
            <w:r w:rsidR="00B86890">
              <w:rPr>
                <w:rFonts w:ascii="Calibri" w:eastAsia="Calibri" w:hAnsi="Calibri" w:cs="Times New Roman"/>
                <w:bCs/>
                <w:sz w:val="16"/>
                <w:szCs w:val="16"/>
              </w:rPr>
              <w:t>I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dentifying and assessing water demands and water availability for multiple purposes. Systems analysis and optimization approaches and methods. Socioeconomic aspects in water management. P</w:t>
            </w:r>
            <w:r w:rsidR="00B86890">
              <w:rPr>
                <w:rFonts w:ascii="Calibri" w:eastAsia="Calibri" w:hAnsi="Calibri" w:cs="Times New Roman"/>
                <w:bCs/>
                <w:sz w:val="16"/>
                <w:szCs w:val="16"/>
              </w:rPr>
              <w:t>erformance of integrated systems.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Farmers and their role in water management. Traditional and modern long-term performance measures for water systems (robustness, reliability, risk, resiliency and vulnerability).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EA0F51" w:rsidRDefault="00B86890" w:rsidP="00B86890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Consultations. In case there are sufficient </w:t>
            </w:r>
            <w:proofErr w:type="gram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students(</w:t>
            </w:r>
            <w:proofErr w:type="gram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4+) l</w:t>
            </w:r>
            <w:r w:rsidR="00EA0F51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ectures and exercises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will be organized</w:t>
            </w:r>
            <w:r w:rsidR="00EA0F51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. Students will accomplish a semester project and present results in oral and in writing. The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semster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project c</w:t>
            </w:r>
            <w:r w:rsidR="00EA0F51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ounts for 60% of the final grade.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final grade is oral and counts for 40%. </w:t>
            </w:r>
            <w:r w:rsidR="00EA0F51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The lectures are held in English. Retake exams may be oral only.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675084" w:rsidTr="00EA0F51">
        <w:tc>
          <w:tcPr>
            <w:tcW w:w="2431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675084" w:rsidTr="00EA0F51">
        <w:tc>
          <w:tcPr>
            <w:tcW w:w="2431" w:type="dxa"/>
            <w:gridSpan w:val="3"/>
            <w:shd w:val="clear" w:color="auto" w:fill="auto"/>
            <w:vAlign w:val="center"/>
          </w:tcPr>
          <w:p w:rsidR="005E42D1" w:rsidRPr="00C21CE9" w:rsidRDefault="00B86890" w:rsidP="00EA0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project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2D1" w:rsidRDefault="00EA0F51" w:rsidP="00EA0F5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E42D1" w:rsidRPr="005E42D1" w:rsidRDefault="00EA0F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5E42D1" w:rsidRPr="00EA0F51" w:rsidRDefault="00B86890" w:rsidP="00B86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E42D1" w:rsidRPr="005E42D1" w:rsidRDefault="00EA0F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675084" w:rsidTr="00EA0F51">
        <w:tc>
          <w:tcPr>
            <w:tcW w:w="743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688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19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30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46C61" w:rsidRPr="00675084" w:rsidTr="00AD15BF">
        <w:tc>
          <w:tcPr>
            <w:tcW w:w="743" w:type="dxa"/>
            <w:vAlign w:val="center"/>
          </w:tcPr>
          <w:p w:rsidR="00C506B5" w:rsidRPr="00675084" w:rsidRDefault="00C506B5" w:rsidP="00C506B5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88" w:type="dxa"/>
            <w:gridSpan w:val="2"/>
            <w:vAlign w:val="center"/>
          </w:tcPr>
          <w:p w:rsidR="00C506B5" w:rsidRPr="00675084" w:rsidRDefault="00C506B5" w:rsidP="00C506B5">
            <w:pPr>
              <w:tabs>
                <w:tab w:val="left" w:pos="252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Srdjevic B.</w:t>
            </w:r>
          </w:p>
          <w:p w:rsidR="00C506B5" w:rsidRPr="00675084" w:rsidRDefault="00C506B5" w:rsidP="00C50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C506B5" w:rsidRPr="00675084" w:rsidRDefault="00C506B5" w:rsidP="00C506B5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Systems Analysis Methods in Engineering With Extensions in Environmental Engineering,</w:t>
            </w:r>
          </w:p>
        </w:tc>
        <w:tc>
          <w:tcPr>
            <w:tcW w:w="3630" w:type="dxa"/>
            <w:gridSpan w:val="4"/>
            <w:vAlign w:val="center"/>
          </w:tcPr>
          <w:p w:rsidR="00C506B5" w:rsidRPr="00675084" w:rsidRDefault="00C506B5" w:rsidP="00AF7089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 xml:space="preserve">Federal University of Bahia, Salvador, Brazil. </w:t>
            </w:r>
            <w:r w:rsidR="00AF7089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Lecturing Notes</w:t>
            </w:r>
            <w:r w:rsidR="00AF7089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142" w:type="dxa"/>
            <w:vAlign w:val="center"/>
          </w:tcPr>
          <w:p w:rsidR="00C506B5" w:rsidRPr="00675084" w:rsidRDefault="00C506B5" w:rsidP="00C50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2003</w:t>
            </w:r>
          </w:p>
        </w:tc>
      </w:tr>
      <w:tr w:rsidR="00675084" w:rsidRPr="00675084" w:rsidTr="00EA0F51">
        <w:tc>
          <w:tcPr>
            <w:tcW w:w="743" w:type="dxa"/>
            <w:vAlign w:val="center"/>
          </w:tcPr>
          <w:p w:rsidR="00EA0F51" w:rsidRPr="00675084" w:rsidRDefault="00B46C61" w:rsidP="00B46C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A0F51" w:rsidRPr="006750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88" w:type="dxa"/>
            <w:gridSpan w:val="2"/>
            <w:vAlign w:val="center"/>
          </w:tcPr>
          <w:p w:rsidR="00EA0F51" w:rsidRPr="00675084" w:rsidRDefault="00EA0F51" w:rsidP="00675084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Hashimoto T.</w:t>
            </w:r>
          </w:p>
        </w:tc>
        <w:tc>
          <w:tcPr>
            <w:tcW w:w="2419" w:type="dxa"/>
            <w:gridSpan w:val="3"/>
            <w:vAlign w:val="center"/>
          </w:tcPr>
          <w:p w:rsidR="00EA0F51" w:rsidRPr="00675084" w:rsidRDefault="00EA0F51" w:rsidP="008B11DE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Robustness, Reliability, Resilience and Vulnerability Criteria for Water</w:t>
            </w:r>
            <w:r w:rsidR="008B11DE">
              <w:rPr>
                <w:rFonts w:ascii="Calibri" w:eastAsia="Calibri" w:hAnsi="Calibri" w:cs="Times New Roman"/>
                <w:sz w:val="16"/>
                <w:szCs w:val="16"/>
              </w:rPr>
              <w:t xml:space="preserve"> R</w:t>
            </w: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 xml:space="preserve">esources </w:t>
            </w:r>
            <w:r w:rsidR="008B11DE"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lanning</w:t>
            </w:r>
          </w:p>
        </w:tc>
        <w:tc>
          <w:tcPr>
            <w:tcW w:w="3630" w:type="dxa"/>
            <w:gridSpan w:val="4"/>
            <w:vAlign w:val="center"/>
          </w:tcPr>
          <w:p w:rsidR="00EA0F51" w:rsidRPr="00675084" w:rsidRDefault="00EA0F51" w:rsidP="00675084">
            <w:pPr>
              <w:tabs>
                <w:tab w:val="left" w:pos="252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Ph. D. dissertation</w:t>
            </w:r>
            <w:r w:rsidRPr="00675084">
              <w:rPr>
                <w:sz w:val="16"/>
                <w:szCs w:val="16"/>
              </w:rPr>
              <w:t xml:space="preserve"> </w:t>
            </w: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 xml:space="preserve">Cornel Univ., Ithaca, N.Y. </w:t>
            </w:r>
          </w:p>
          <w:p w:rsidR="00EA0F51" w:rsidRPr="00675084" w:rsidRDefault="00EA0F51" w:rsidP="006750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A0F51" w:rsidRPr="00675084" w:rsidRDefault="00EA0F51" w:rsidP="00EA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675084" w:rsidRPr="00675084" w:rsidTr="00EA0F51">
        <w:tc>
          <w:tcPr>
            <w:tcW w:w="743" w:type="dxa"/>
            <w:vAlign w:val="center"/>
          </w:tcPr>
          <w:p w:rsidR="00EA0F51" w:rsidRPr="00675084" w:rsidRDefault="00B46C61" w:rsidP="00B46C61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75084" w:rsidRPr="006750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688" w:type="dxa"/>
            <w:gridSpan w:val="2"/>
            <w:vAlign w:val="center"/>
          </w:tcPr>
          <w:p w:rsidR="00675084" w:rsidRPr="00675084" w:rsidRDefault="00675084" w:rsidP="00675084">
            <w:pPr>
              <w:tabs>
                <w:tab w:val="left" w:pos="252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Srdjevic B.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etal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A0F51" w:rsidRPr="00675084" w:rsidRDefault="00EA0F51" w:rsidP="006750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EA0F51" w:rsidRPr="00675084" w:rsidRDefault="00675084" w:rsidP="00675084">
            <w:pPr>
              <w:rPr>
                <w:rFonts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An Objective Multi-criteria Evaluation of Water Management Scenarios,</w:t>
            </w:r>
          </w:p>
        </w:tc>
        <w:tc>
          <w:tcPr>
            <w:tcW w:w="3630" w:type="dxa"/>
            <w:gridSpan w:val="4"/>
            <w:vAlign w:val="center"/>
          </w:tcPr>
          <w:p w:rsidR="00EA0F51" w:rsidRPr="00675084" w:rsidRDefault="00675084" w:rsidP="00AF7089">
            <w:pPr>
              <w:rPr>
                <w:rFonts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International Journal of Water Resources Management 18 (1), 65-84.</w:t>
            </w:r>
          </w:p>
        </w:tc>
        <w:tc>
          <w:tcPr>
            <w:tcW w:w="1142" w:type="dxa"/>
            <w:vAlign w:val="center"/>
          </w:tcPr>
          <w:p w:rsidR="00EA0F51" w:rsidRPr="00675084" w:rsidRDefault="00675084" w:rsidP="00EA0F51">
            <w:pPr>
              <w:jc w:val="center"/>
              <w:rPr>
                <w:rFonts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2004</w:t>
            </w:r>
          </w:p>
        </w:tc>
      </w:tr>
      <w:tr w:rsidR="00B86890" w:rsidTr="0027361F">
        <w:tc>
          <w:tcPr>
            <w:tcW w:w="743" w:type="dxa"/>
            <w:vAlign w:val="center"/>
          </w:tcPr>
          <w:p w:rsidR="00B86890" w:rsidRPr="00B86890" w:rsidRDefault="00B86890" w:rsidP="00B86890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B86890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688" w:type="dxa"/>
            <w:gridSpan w:val="2"/>
            <w:vAlign w:val="center"/>
          </w:tcPr>
          <w:p w:rsidR="00B86890" w:rsidRPr="00B86890" w:rsidRDefault="00B86890" w:rsidP="00B86890">
            <w:pPr>
              <w:rPr>
                <w:rFonts w:cs="Arial"/>
                <w:sz w:val="16"/>
                <w:szCs w:val="16"/>
              </w:rPr>
            </w:pPr>
            <w:r w:rsidRPr="00B86890">
              <w:rPr>
                <w:sz w:val="16"/>
                <w:szCs w:val="16"/>
              </w:rPr>
              <w:t xml:space="preserve">Keeney R.L., and </w:t>
            </w:r>
            <w:proofErr w:type="spellStart"/>
            <w:r w:rsidRPr="00B86890">
              <w:rPr>
                <w:sz w:val="16"/>
                <w:szCs w:val="16"/>
              </w:rPr>
              <w:t>Raiffa</w:t>
            </w:r>
            <w:proofErr w:type="spellEnd"/>
            <w:r w:rsidRPr="00B86890">
              <w:rPr>
                <w:sz w:val="16"/>
                <w:szCs w:val="16"/>
              </w:rPr>
              <w:t xml:space="preserve"> H. </w:t>
            </w:r>
          </w:p>
        </w:tc>
        <w:tc>
          <w:tcPr>
            <w:tcW w:w="2419" w:type="dxa"/>
            <w:gridSpan w:val="3"/>
            <w:vAlign w:val="center"/>
          </w:tcPr>
          <w:p w:rsidR="00B86890" w:rsidRPr="00B86890" w:rsidRDefault="00B86890" w:rsidP="00B86890">
            <w:pPr>
              <w:ind w:left="12"/>
              <w:rPr>
                <w:sz w:val="16"/>
                <w:szCs w:val="16"/>
              </w:rPr>
            </w:pPr>
            <w:r w:rsidRPr="00B86890">
              <w:rPr>
                <w:sz w:val="16"/>
                <w:szCs w:val="16"/>
              </w:rPr>
              <w:t xml:space="preserve">Decisions with Multiple Objectives: Preferences and Value Tradeoffs </w:t>
            </w:r>
          </w:p>
          <w:p w:rsidR="00B86890" w:rsidRPr="00B86890" w:rsidRDefault="00B86890" w:rsidP="00B8689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B86890" w:rsidRPr="00B86890" w:rsidRDefault="00B86890" w:rsidP="00B86890">
            <w:pPr>
              <w:rPr>
                <w:rFonts w:cs="Arial"/>
                <w:sz w:val="16"/>
                <w:szCs w:val="16"/>
              </w:rPr>
            </w:pPr>
            <w:r w:rsidRPr="00B86890">
              <w:rPr>
                <w:sz w:val="16"/>
                <w:szCs w:val="16"/>
              </w:rPr>
              <w:t>Cambridge University Press, Cambridge, England.</w:t>
            </w:r>
          </w:p>
        </w:tc>
        <w:tc>
          <w:tcPr>
            <w:tcW w:w="1142" w:type="dxa"/>
            <w:vAlign w:val="center"/>
          </w:tcPr>
          <w:p w:rsidR="00B86890" w:rsidRPr="00B86890" w:rsidRDefault="00B86890" w:rsidP="00B86890">
            <w:pPr>
              <w:jc w:val="center"/>
              <w:rPr>
                <w:rFonts w:cs="Arial"/>
                <w:sz w:val="16"/>
                <w:szCs w:val="16"/>
              </w:rPr>
            </w:pPr>
            <w:r w:rsidRPr="00B86890">
              <w:rPr>
                <w:sz w:val="16"/>
                <w:szCs w:val="16"/>
              </w:rPr>
              <w:t>(1993).</w:t>
            </w:r>
          </w:p>
        </w:tc>
      </w:tr>
      <w:tr w:rsidR="00675084" w:rsidTr="00EA0F51">
        <w:tc>
          <w:tcPr>
            <w:tcW w:w="743" w:type="dxa"/>
            <w:vAlign w:val="center"/>
          </w:tcPr>
          <w:p w:rsidR="00D02E1F" w:rsidRPr="00675084" w:rsidRDefault="00B86890" w:rsidP="00B46C61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46C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88" w:type="dxa"/>
            <w:gridSpan w:val="2"/>
            <w:vAlign w:val="center"/>
          </w:tcPr>
          <w:p w:rsidR="00D02E1F" w:rsidRPr="00D02E1F" w:rsidRDefault="00D02E1F" w:rsidP="006750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D02E1F" w:rsidRPr="00D02E1F" w:rsidRDefault="00D02E1F" w:rsidP="006750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D02E1F" w:rsidRPr="00D02E1F" w:rsidRDefault="00675084" w:rsidP="00675084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presentations).</w:t>
            </w:r>
          </w:p>
        </w:tc>
        <w:tc>
          <w:tcPr>
            <w:tcW w:w="1142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86701" w:rsidRDefault="00086701" w:rsidP="000867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086701" w:rsidRDefault="00086701" w:rsidP="00086701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086701" w:rsidP="00086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         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675084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D4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1F8"/>
    <w:multiLevelType w:val="hybridMultilevel"/>
    <w:tmpl w:val="934E9E90"/>
    <w:lvl w:ilvl="0" w:tplc="9C248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16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98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2A1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324AF"/>
    <w:multiLevelType w:val="hybridMultilevel"/>
    <w:tmpl w:val="2B98C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60A6C"/>
    <w:rsid w:val="0008374A"/>
    <w:rsid w:val="00086701"/>
    <w:rsid w:val="001312B9"/>
    <w:rsid w:val="001A0164"/>
    <w:rsid w:val="001F34D7"/>
    <w:rsid w:val="002319BC"/>
    <w:rsid w:val="00255EDE"/>
    <w:rsid w:val="002611DF"/>
    <w:rsid w:val="00322F84"/>
    <w:rsid w:val="003D6C6A"/>
    <w:rsid w:val="004666C8"/>
    <w:rsid w:val="004C1CC6"/>
    <w:rsid w:val="004C5BFA"/>
    <w:rsid w:val="004E63B5"/>
    <w:rsid w:val="0052299F"/>
    <w:rsid w:val="00535E50"/>
    <w:rsid w:val="005E42D1"/>
    <w:rsid w:val="00675084"/>
    <w:rsid w:val="008B11DE"/>
    <w:rsid w:val="008B56DC"/>
    <w:rsid w:val="00927F2D"/>
    <w:rsid w:val="009611E2"/>
    <w:rsid w:val="009B28FB"/>
    <w:rsid w:val="009E2BF4"/>
    <w:rsid w:val="00A215E0"/>
    <w:rsid w:val="00AE67EE"/>
    <w:rsid w:val="00AF7089"/>
    <w:rsid w:val="00B379AE"/>
    <w:rsid w:val="00B46C61"/>
    <w:rsid w:val="00B86890"/>
    <w:rsid w:val="00C21CE9"/>
    <w:rsid w:val="00C506B5"/>
    <w:rsid w:val="00CC0E96"/>
    <w:rsid w:val="00CC7AA9"/>
    <w:rsid w:val="00D02E1F"/>
    <w:rsid w:val="00D554D7"/>
    <w:rsid w:val="00D57E7D"/>
    <w:rsid w:val="00DF0ABC"/>
    <w:rsid w:val="00EA0F51"/>
    <w:rsid w:val="00F15213"/>
    <w:rsid w:val="00F326BA"/>
    <w:rsid w:val="00F63F34"/>
    <w:rsid w:val="00F87FB0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vranesevic.milica</cp:lastModifiedBy>
  <cp:revision>8</cp:revision>
  <dcterms:created xsi:type="dcterms:W3CDTF">2015-01-15T09:01:00Z</dcterms:created>
  <dcterms:modified xsi:type="dcterms:W3CDTF">2015-01-16T09:10:00Z</dcterms:modified>
</cp:coreProperties>
</file>