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A95F8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26"/>
        <w:gridCol w:w="9"/>
      </w:tblGrid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Nebojsa</w:t>
            </w:r>
            <w:proofErr w:type="spellEnd"/>
            <w:r w:rsidRPr="001B28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B28B1">
              <w:rPr>
                <w:rFonts w:ascii="Arial" w:hAnsi="Arial" w:cs="Arial"/>
                <w:sz w:val="16"/>
                <w:szCs w:val="16"/>
              </w:rPr>
              <w:t>Dedovic</w:t>
            </w:r>
            <w:proofErr w:type="spellEnd"/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B28B1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123FA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, November 10, 1997.</w:t>
            </w:r>
          </w:p>
        </w:tc>
      </w:tr>
      <w:tr w:rsidR="00A544E7" w:rsidRPr="007303ED" w:rsidTr="007801BE">
        <w:trPr>
          <w:gridAfter w:val="2"/>
          <w:wAfter w:w="35" w:type="dxa"/>
        </w:trPr>
        <w:tc>
          <w:tcPr>
            <w:tcW w:w="4894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Mathematics, Analysis</w:t>
            </w:r>
          </w:p>
        </w:tc>
      </w:tr>
      <w:tr w:rsidR="00A544E7" w:rsidRPr="007303ED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7801BE">
        <w:tc>
          <w:tcPr>
            <w:tcW w:w="2320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Analysis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7801BE">
        <w:tc>
          <w:tcPr>
            <w:tcW w:w="2320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Numerical mathematics</w:t>
            </w:r>
          </w:p>
        </w:tc>
      </w:tr>
      <w:tr w:rsidR="00123FA5" w:rsidRPr="007303ED" w:rsidTr="007801BE">
        <w:tc>
          <w:tcPr>
            <w:tcW w:w="2320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801BE">
        <w:tc>
          <w:tcPr>
            <w:tcW w:w="54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64919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64919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</w:t>
            </w:r>
            <w:r w:rsidR="00E45099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262FC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C0E0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9F3776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F041FA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F041FA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0+3</w:t>
            </w:r>
          </w:p>
        </w:tc>
      </w:tr>
      <w:tr w:rsidR="007801BE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801BE" w:rsidRPr="00735A1D" w:rsidRDefault="007801BE" w:rsidP="00B810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801BE" w:rsidRPr="003B436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  <w:lang w:val="sr-Cyrl-CS"/>
              </w:rPr>
              <w:t>ПФПТДИ08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801BE" w:rsidRPr="00735A1D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 Research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Pr="0051335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Master, </w:t>
            </w: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Pr="00F64919" w:rsidRDefault="007801BE" w:rsidP="007801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7801BE" w:rsidRPr="007303ED" w:rsidTr="007801BE">
        <w:tc>
          <w:tcPr>
            <w:tcW w:w="541" w:type="dxa"/>
            <w:gridSpan w:val="2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801BE" w:rsidRPr="003B436E" w:rsidRDefault="007801BE" w:rsidP="00B81085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6D22">
              <w:rPr>
                <w:rFonts w:ascii="Arial" w:hAnsi="Arial" w:cs="Arial"/>
                <w:sz w:val="16"/>
                <w:szCs w:val="16"/>
              </w:rPr>
              <w:t>3ДАИ3104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801BE" w:rsidRPr="003B436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</w:rPr>
              <w:t>Mathematics with software support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Doctoral, Agronomy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:rsidR="007801BE" w:rsidRDefault="007801BE" w:rsidP="00B810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F041FA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Delta shock waves and wave-front tracking method</w:t>
            </w:r>
            <w:r w:rsidRPr="00123FA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Pr="00123FA5">
              <w:rPr>
                <w:rFonts w:ascii="Arial" w:hAnsi="Arial" w:cs="Arial"/>
                <w:sz w:val="16"/>
                <w:szCs w:val="16"/>
              </w:rPr>
              <w:t>, 2014.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Nedeljkov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Delta shocks interactions and wave front tracking method, Journal of Mathematical Analysis and Applications, 403 (2013), 580–598.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Silleli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H,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O. Influence of eccentric drawbar force on power delivery efficiency of a wheeled tractor. Turkish Journal of Agriculture and Forestry. Turkish Journal of Agricultural Forestry 36 (2012), 486-500.</w:t>
            </w:r>
          </w:p>
        </w:tc>
      </w:tr>
      <w:tr w:rsidR="00F041FA" w:rsidRPr="000134BA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7801BE">
        <w:tc>
          <w:tcPr>
            <w:tcW w:w="402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G,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Tillage quality affecting physical characteristics, number of plants and carrot root yield under flat and ridge cultivation, Journal of Food, Agriculture &amp; Environment 10(2) (2012), 304-311.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Bajkin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Zoranović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M. The effects of working parameters and tillage quality on rotary tiller specific work requirement. African Journal of Agricultural Research 6(31) (2011), 6513-6524.</w:t>
            </w:r>
          </w:p>
        </w:tc>
      </w:tr>
      <w:tr w:rsidR="00F041FA" w:rsidRPr="007303ED" w:rsidTr="007801BE">
        <w:tc>
          <w:tcPr>
            <w:tcW w:w="402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2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0134BA" w:rsidTr="007801BE">
        <w:tc>
          <w:tcPr>
            <w:tcW w:w="10016" w:type="dxa"/>
            <w:gridSpan w:val="13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7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 (nine)</w:t>
            </w:r>
          </w:p>
        </w:tc>
      </w:tr>
      <w:tr w:rsidR="00F041FA" w:rsidRPr="007303ED" w:rsidTr="007801BE">
        <w:tc>
          <w:tcPr>
            <w:tcW w:w="4567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5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tr w:rsidR="00F041FA" w:rsidRPr="007303ED" w:rsidTr="007801BE">
        <w:trPr>
          <w:gridAfter w:val="1"/>
          <w:wAfter w:w="9" w:type="dxa"/>
        </w:trPr>
        <w:tc>
          <w:tcPr>
            <w:tcW w:w="1625" w:type="dxa"/>
            <w:gridSpan w:val="3"/>
            <w:vAlign w:val="center"/>
          </w:tcPr>
          <w:p w:rsidR="00F041FA" w:rsidRPr="00FE65FF" w:rsidRDefault="00F041FA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382" w:type="dxa"/>
            <w:gridSpan w:val="9"/>
          </w:tcPr>
          <w:p w:rsidR="00F041FA" w:rsidRPr="00FE65FF" w:rsidRDefault="00F041FA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CF2CEC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212B"/>
    <w:rsid w:val="001664F7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335E"/>
    <w:rsid w:val="0051513D"/>
    <w:rsid w:val="005234A4"/>
    <w:rsid w:val="00554058"/>
    <w:rsid w:val="005551C7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3C19"/>
    <w:rsid w:val="006E0F7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01BE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29A"/>
    <w:rsid w:val="008F36BD"/>
    <w:rsid w:val="00925DF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93B05"/>
    <w:rsid w:val="00A9530D"/>
    <w:rsid w:val="00A95F88"/>
    <w:rsid w:val="00AC5C16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E1633-07F6-483A-B073-E2CD9402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3</cp:revision>
  <cp:lastPrinted>2014-12-09T10:50:00Z</cp:lastPrinted>
  <dcterms:created xsi:type="dcterms:W3CDTF">2014-12-22T14:18:00Z</dcterms:created>
  <dcterms:modified xsi:type="dcterms:W3CDTF">2014-12-24T12:49:00Z</dcterms:modified>
</cp:coreProperties>
</file>