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182058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9"/>
        <w:gridCol w:w="1084"/>
        <w:gridCol w:w="695"/>
        <w:gridCol w:w="1221"/>
        <w:gridCol w:w="1026"/>
        <w:gridCol w:w="327"/>
        <w:gridCol w:w="1239"/>
        <w:gridCol w:w="699"/>
        <w:gridCol w:w="1747"/>
        <w:gridCol w:w="1402"/>
        <w:gridCol w:w="35"/>
      </w:tblGrid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87" w:type="dxa"/>
            <w:gridSpan w:val="4"/>
          </w:tcPr>
          <w:p w:rsidR="00A544E7" w:rsidRPr="001B28B1" w:rsidRDefault="004C16FE" w:rsidP="004C16F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Snezana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Matic-Kekic</w:t>
            </w:r>
            <w:proofErr w:type="spellEnd"/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87" w:type="dxa"/>
            <w:gridSpan w:val="4"/>
          </w:tcPr>
          <w:p w:rsidR="00A544E7" w:rsidRPr="001B28B1" w:rsidRDefault="004C16FE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  <w:r w:rsidR="00DB46B8" w:rsidRPr="001B28B1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4C16FE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4C16FE">
              <w:rPr>
                <w:rFonts w:ascii="Arial" w:hAnsi="Arial" w:cs="Arial"/>
                <w:color w:val="000000"/>
                <w:sz w:val="16"/>
                <w:szCs w:val="16"/>
              </w:rPr>
              <w:t>October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 xml:space="preserve"> 1, 199</w:t>
            </w:r>
            <w:r w:rsidR="004C16F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A544E7" w:rsidRPr="00123FA5" w:rsidRDefault="00123FA5" w:rsidP="004C16F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Mathematics, </w:t>
            </w:r>
            <w:r w:rsidR="004C16FE">
              <w:rPr>
                <w:rFonts w:ascii="Arial" w:hAnsi="Arial" w:cs="Arial"/>
                <w:sz w:val="16"/>
                <w:szCs w:val="16"/>
              </w:rPr>
              <w:t>Optimization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C16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8E4313">
        <w:tc>
          <w:tcPr>
            <w:tcW w:w="2319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1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291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184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4C16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1" w:type="dxa"/>
            <w:vAlign w:val="center"/>
          </w:tcPr>
          <w:p w:rsidR="00123FA5" w:rsidRPr="00123FA5" w:rsidRDefault="004C16FE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A260BF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</w:t>
            </w:r>
            <w:r w:rsidR="004C16FE">
              <w:rPr>
                <w:rFonts w:ascii="Arial" w:hAnsi="Arial" w:cs="Arial"/>
                <w:sz w:val="16"/>
                <w:szCs w:val="16"/>
              </w:rPr>
              <w:t>Optimizations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A260BF" w:rsidP="00123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1" w:type="dxa"/>
            <w:vAlign w:val="center"/>
          </w:tcPr>
          <w:p w:rsidR="00123FA5" w:rsidRPr="00123FA5" w:rsidRDefault="004C16FE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4C16F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</w:t>
            </w:r>
            <w:r w:rsidR="004C16FE">
              <w:rPr>
                <w:rFonts w:ascii="Arial" w:hAnsi="Arial" w:cs="Arial"/>
                <w:bCs/>
                <w:sz w:val="16"/>
                <w:szCs w:val="16"/>
              </w:rPr>
              <w:t>Algebra</w:t>
            </w:r>
          </w:p>
        </w:tc>
      </w:tr>
      <w:tr w:rsidR="00123FA5" w:rsidRPr="007303ED" w:rsidTr="008E4313"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4C16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A544E7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8E4313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9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5" w:type="dxa"/>
            <w:gridSpan w:val="3"/>
            <w:shd w:val="clear" w:color="auto" w:fill="C2D69B" w:themeFill="accent3" w:themeFillTint="99"/>
            <w:vAlign w:val="center"/>
          </w:tcPr>
          <w:p w:rsidR="00722587" w:rsidRDefault="00722587" w:rsidP="00735A1D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  <w:p w:rsidR="00DF5204" w:rsidRPr="00722587" w:rsidRDefault="00143612" w:rsidP="00CE506A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s - </w:t>
            </w:r>
            <w:proofErr w:type="spellStart"/>
            <w:r w:rsidR="00CE506A">
              <w:rPr>
                <w:rFonts w:ascii="Arial" w:hAnsi="Arial" w:cs="Arial"/>
                <w:sz w:val="16"/>
                <w:szCs w:val="16"/>
              </w:rPr>
              <w:t>mandantory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subject,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– elective subject</w:t>
            </w:r>
          </w:p>
        </w:tc>
        <w:tc>
          <w:tcPr>
            <w:tcW w:w="1437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35A1D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DF52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4C1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1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3OPT1O01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3OPT2I38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DF5204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43612">
              <w:rPr>
                <w:rFonts w:ascii="Arial" w:hAnsi="Arial" w:cs="Arial"/>
                <w:sz w:val="16"/>
                <w:szCs w:val="16"/>
              </w:rPr>
              <w:t>e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F64919" w:rsidRDefault="00E45099" w:rsidP="00E45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3OСT1O05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93E5B" w:rsidP="00893E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Animal Husbandry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3ОФМ1И39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3ОФМ1И40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 w:rsidP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47BFE" w:rsidRDefault="009F3776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Pr="009F3776" w:rsidRDefault="009F3776" w:rsidP="0033416C">
            <w:pPr>
              <w:rPr>
                <w:rFonts w:ascii="Arial" w:hAnsi="Arial" w:cs="Arial"/>
                <w:sz w:val="16"/>
                <w:szCs w:val="16"/>
              </w:rPr>
            </w:pPr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35A1D" w:rsidRDefault="009F3776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3OРT1И02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Default="009F3776" w:rsidP="0033416C"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F041FA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735A1D" w:rsidRDefault="007C0093" w:rsidP="007C0093">
            <w:pPr>
              <w:rPr>
                <w:rFonts w:ascii="Arial" w:hAnsi="Arial" w:cs="Arial"/>
                <w:sz w:val="16"/>
                <w:szCs w:val="16"/>
              </w:rPr>
            </w:pPr>
            <w:r w:rsidRPr="007C0093">
              <w:rPr>
                <w:rFonts w:ascii="Arial" w:hAnsi="Arial" w:cs="Arial"/>
                <w:sz w:val="16"/>
                <w:szCs w:val="16"/>
              </w:rPr>
              <w:t>7OАГ1О05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E4313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Agricultural Economics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51335E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35E"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 w:rsidRPr="0051335E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F041FA" w:rsidRPr="00722587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B73844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73844"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="00B73844" w:rsidRPr="00123FA5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B7384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85BB2" w:rsidRPr="00585BB2">
              <w:rPr>
                <w:rFonts w:ascii="Arial" w:hAnsi="Arial" w:cs="Arial"/>
                <w:sz w:val="16"/>
                <w:szCs w:val="16"/>
              </w:rPr>
              <w:t>Some optimization problems on digital convex polygons</w:t>
            </w:r>
            <w:r w:rsidR="00B73844"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FA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PhD thesis</w:t>
            </w:r>
            <w:r w:rsidRPr="00123FA5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Novi Sad, Faculty of Sciences</w:t>
            </w:r>
            <w:r w:rsidR="00B73844">
              <w:rPr>
                <w:rFonts w:ascii="Arial" w:hAnsi="Arial" w:cs="Arial"/>
                <w:sz w:val="16"/>
                <w:szCs w:val="16"/>
              </w:rPr>
              <w:t>, 1995</w:t>
            </w:r>
            <w:r w:rsidRPr="00123F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585BB2" w:rsidRDefault="00585BB2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Acketa,D.M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Žunić,J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, An exact construction of digital convex polygons with minimal diameter, Dis</w:t>
            </w:r>
            <w:r>
              <w:rPr>
                <w:rFonts w:ascii="Arial" w:hAnsi="Arial" w:cs="Arial"/>
                <w:sz w:val="16"/>
                <w:szCs w:val="16"/>
              </w:rPr>
              <w:t xml:space="preserve">crete Mathematics 150 (1996), 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303-313.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Karadžić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B. New approach to border line evaluations for whole sample of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), Computers and Electronics in Agriculture, 79 (2011), 94–101.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S.,  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Acketa,D.M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.,   Non-greedy </w:t>
            </w:r>
            <w:r>
              <w:rPr>
                <w:rFonts w:ascii="Arial" w:hAnsi="Arial" w:cs="Arial"/>
                <w:sz w:val="16"/>
                <w:szCs w:val="16"/>
              </w:rPr>
              <w:t>optimal digital convex polygons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85BB2">
              <w:rPr>
                <w:rFonts w:ascii="Arial" w:hAnsi="Arial" w:cs="Arial"/>
                <w:i/>
                <w:sz w:val="16"/>
                <w:szCs w:val="16"/>
              </w:rPr>
              <w:t>Indian Journal of Pure and Applied Mathematics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28(4),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85BB2">
              <w:rPr>
                <w:rFonts w:ascii="Arial" w:hAnsi="Arial" w:cs="Arial"/>
                <w:sz w:val="16"/>
                <w:szCs w:val="16"/>
              </w:rPr>
              <w:t>1997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5BB2">
              <w:rPr>
                <w:rFonts w:ascii="Arial" w:hAnsi="Arial" w:cs="Arial"/>
                <w:sz w:val="16"/>
                <w:szCs w:val="16"/>
              </w:rPr>
              <w:t>455-470.</w:t>
            </w:r>
          </w:p>
        </w:tc>
      </w:tr>
      <w:tr w:rsidR="00F041FA" w:rsidRPr="000134BA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I. Surface area and volume modeling of the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). International Journal of Food Properties, 15(4) (2012), 880–890.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Reproduction and culling influence on the number of ewes and lambs in two types of breeding, African Journal of Agricultural Research 7(24) (2012), 3506- 3512.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Igić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Biomass boiler efficiency - mathematical modeling, Energies 5(5) (2012), 1470-1489.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, D.M,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Mudrinski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V,  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  A large collection of 2-designs from a wreath product on 21 points,  </w:t>
            </w:r>
            <w:proofErr w:type="spellStart"/>
            <w:r w:rsidRPr="00585BB2">
              <w:rPr>
                <w:rFonts w:ascii="Arial" w:hAnsi="Arial" w:cs="Arial"/>
                <w:i/>
                <w:sz w:val="16"/>
                <w:szCs w:val="16"/>
              </w:rPr>
              <w:t>Ars</w:t>
            </w:r>
            <w:proofErr w:type="spellEnd"/>
            <w:r w:rsidRPr="00585BB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 w:rsidRPr="00585BB2">
              <w:rPr>
                <w:rFonts w:ascii="Arial" w:hAnsi="Arial" w:cs="Arial"/>
                <w:i/>
                <w:sz w:val="16"/>
                <w:szCs w:val="16"/>
              </w:rPr>
              <w:t>Combinatoria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54: 109-118, 2000.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A. Optimization of the locations of overhaul capacities for agricultural engineering in Serbia by applying integer programming, African Journal of Agricultural Research 6(14) (2011), 3346-3354.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123FA5" w:rsidRDefault="00585BB2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Savin,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L.,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Matić-Kekić,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Dedović,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N.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Simikić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M.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and Tomić,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M.</w:t>
            </w:r>
            <w:r w:rsidRPr="00585BB2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 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Profit maximization algorithm including the loss of yield due to uncertain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weather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events during harvest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Biosystems Engineering 123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(2014)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56-67.</w:t>
            </w:r>
          </w:p>
        </w:tc>
      </w:tr>
      <w:tr w:rsidR="00F041FA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9" w:type="dxa"/>
            <w:gridSpan w:val="6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9" w:type="dxa"/>
            <w:gridSpan w:val="6"/>
          </w:tcPr>
          <w:p w:rsidR="00F041FA" w:rsidRPr="00A260BF" w:rsidRDefault="004D75B3" w:rsidP="004D75B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F041FA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eleven</w:t>
            </w:r>
            <w:r w:rsidR="00F041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566" w:type="dxa"/>
            <w:gridSpan w:val="2"/>
          </w:tcPr>
          <w:p w:rsidR="00F041FA" w:rsidRPr="00123FA5" w:rsidRDefault="00F041F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883" w:type="dxa"/>
            <w:gridSpan w:val="4"/>
          </w:tcPr>
          <w:p w:rsidR="00F041FA" w:rsidRPr="00D3655D" w:rsidRDefault="00F041F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bookmarkEnd w:id="1"/>
      <w:bookmarkEnd w:id="2"/>
    </w:tbl>
    <w:p w:rsidR="00A544E7" w:rsidRPr="00662DE2" w:rsidRDefault="00A544E7" w:rsidP="004559FF"/>
    <w:sectPr w:rsidR="00A544E7" w:rsidRPr="00662DE2" w:rsidSect="00662DE2">
      <w:pgSz w:w="12240" w:h="15840"/>
      <w:pgMar w:top="993" w:right="13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3B1"/>
    <w:rsid w:val="00103D17"/>
    <w:rsid w:val="001043FD"/>
    <w:rsid w:val="00114797"/>
    <w:rsid w:val="00114A9F"/>
    <w:rsid w:val="001170AC"/>
    <w:rsid w:val="00123FA5"/>
    <w:rsid w:val="00130639"/>
    <w:rsid w:val="00143612"/>
    <w:rsid w:val="00157B73"/>
    <w:rsid w:val="001664F7"/>
    <w:rsid w:val="00182058"/>
    <w:rsid w:val="001B28B1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31A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4521A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559FF"/>
    <w:rsid w:val="0046093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16FE"/>
    <w:rsid w:val="004C455F"/>
    <w:rsid w:val="004D75B3"/>
    <w:rsid w:val="004E0620"/>
    <w:rsid w:val="00500033"/>
    <w:rsid w:val="0051335E"/>
    <w:rsid w:val="0051513D"/>
    <w:rsid w:val="005234A4"/>
    <w:rsid w:val="00554058"/>
    <w:rsid w:val="005551C7"/>
    <w:rsid w:val="00585BB2"/>
    <w:rsid w:val="00586A03"/>
    <w:rsid w:val="005A0011"/>
    <w:rsid w:val="005C056D"/>
    <w:rsid w:val="005D0BE5"/>
    <w:rsid w:val="005E3309"/>
    <w:rsid w:val="005E7B76"/>
    <w:rsid w:val="00604CCF"/>
    <w:rsid w:val="00634243"/>
    <w:rsid w:val="006517BC"/>
    <w:rsid w:val="00652875"/>
    <w:rsid w:val="00662DE2"/>
    <w:rsid w:val="00666CE9"/>
    <w:rsid w:val="00683B02"/>
    <w:rsid w:val="00694DE7"/>
    <w:rsid w:val="006A0893"/>
    <w:rsid w:val="006B5279"/>
    <w:rsid w:val="006C2A8C"/>
    <w:rsid w:val="006D3C19"/>
    <w:rsid w:val="006E0F7E"/>
    <w:rsid w:val="006E7E63"/>
    <w:rsid w:val="00707EAE"/>
    <w:rsid w:val="007176E6"/>
    <w:rsid w:val="00722587"/>
    <w:rsid w:val="00723452"/>
    <w:rsid w:val="007262FC"/>
    <w:rsid w:val="007303ED"/>
    <w:rsid w:val="00730839"/>
    <w:rsid w:val="00735A1D"/>
    <w:rsid w:val="00746F95"/>
    <w:rsid w:val="00747BFE"/>
    <w:rsid w:val="00754EE8"/>
    <w:rsid w:val="00780180"/>
    <w:rsid w:val="007868C2"/>
    <w:rsid w:val="00786DA6"/>
    <w:rsid w:val="00793B3E"/>
    <w:rsid w:val="007A75B5"/>
    <w:rsid w:val="007C0093"/>
    <w:rsid w:val="007C4C8F"/>
    <w:rsid w:val="007C5FEF"/>
    <w:rsid w:val="007E1050"/>
    <w:rsid w:val="007F2059"/>
    <w:rsid w:val="007F4B70"/>
    <w:rsid w:val="00801BB0"/>
    <w:rsid w:val="00812433"/>
    <w:rsid w:val="00815567"/>
    <w:rsid w:val="00841B4E"/>
    <w:rsid w:val="00862977"/>
    <w:rsid w:val="008749DC"/>
    <w:rsid w:val="00886D87"/>
    <w:rsid w:val="00890A03"/>
    <w:rsid w:val="00893E5B"/>
    <w:rsid w:val="00895B4A"/>
    <w:rsid w:val="008A6BB4"/>
    <w:rsid w:val="008B05A3"/>
    <w:rsid w:val="008E431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776"/>
    <w:rsid w:val="009F48FD"/>
    <w:rsid w:val="00A119BE"/>
    <w:rsid w:val="00A260BF"/>
    <w:rsid w:val="00A31B43"/>
    <w:rsid w:val="00A544E7"/>
    <w:rsid w:val="00A6226B"/>
    <w:rsid w:val="00A66B6B"/>
    <w:rsid w:val="00A93B05"/>
    <w:rsid w:val="00A9530D"/>
    <w:rsid w:val="00AC5C16"/>
    <w:rsid w:val="00AC7469"/>
    <w:rsid w:val="00AD0F1E"/>
    <w:rsid w:val="00B113D8"/>
    <w:rsid w:val="00B5753D"/>
    <w:rsid w:val="00B678B5"/>
    <w:rsid w:val="00B73844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1671A"/>
    <w:rsid w:val="00C35A75"/>
    <w:rsid w:val="00C547A2"/>
    <w:rsid w:val="00C82696"/>
    <w:rsid w:val="00C922D2"/>
    <w:rsid w:val="00CA762E"/>
    <w:rsid w:val="00CD1438"/>
    <w:rsid w:val="00CE506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5204"/>
    <w:rsid w:val="00DF7612"/>
    <w:rsid w:val="00E11725"/>
    <w:rsid w:val="00E40212"/>
    <w:rsid w:val="00E45099"/>
    <w:rsid w:val="00E56C72"/>
    <w:rsid w:val="00E6087C"/>
    <w:rsid w:val="00E64A09"/>
    <w:rsid w:val="00E849C7"/>
    <w:rsid w:val="00E946BB"/>
    <w:rsid w:val="00EA1B6A"/>
    <w:rsid w:val="00EB3FD0"/>
    <w:rsid w:val="00EF29E8"/>
    <w:rsid w:val="00EF4089"/>
    <w:rsid w:val="00EF4F36"/>
    <w:rsid w:val="00F03492"/>
    <w:rsid w:val="00F041FA"/>
    <w:rsid w:val="00F05132"/>
    <w:rsid w:val="00F055ED"/>
    <w:rsid w:val="00F22CF3"/>
    <w:rsid w:val="00F31D76"/>
    <w:rsid w:val="00F325AA"/>
    <w:rsid w:val="00F3447C"/>
    <w:rsid w:val="00F56FAF"/>
    <w:rsid w:val="00F60E28"/>
    <w:rsid w:val="00F64919"/>
    <w:rsid w:val="00F87EBB"/>
    <w:rsid w:val="00F92CBF"/>
    <w:rsid w:val="00FA2CA3"/>
    <w:rsid w:val="00FA45D0"/>
    <w:rsid w:val="00FA4A08"/>
    <w:rsid w:val="00FB6A99"/>
    <w:rsid w:val="00FC0E0A"/>
    <w:rsid w:val="00FE0D36"/>
    <w:rsid w:val="00FE16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58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785-EC75-4EE7-994F-8B415E28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smk</cp:lastModifiedBy>
  <cp:revision>2</cp:revision>
  <cp:lastPrinted>2014-12-09T10:50:00Z</cp:lastPrinted>
  <dcterms:created xsi:type="dcterms:W3CDTF">2014-12-22T14:19:00Z</dcterms:created>
  <dcterms:modified xsi:type="dcterms:W3CDTF">2014-12-22T14:19:00Z</dcterms:modified>
</cp:coreProperties>
</file>