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709"/>
        <w:gridCol w:w="425"/>
        <w:gridCol w:w="567"/>
        <w:gridCol w:w="734"/>
        <w:gridCol w:w="684"/>
        <w:gridCol w:w="425"/>
        <w:gridCol w:w="1418"/>
        <w:gridCol w:w="425"/>
        <w:gridCol w:w="709"/>
        <w:gridCol w:w="1150"/>
      </w:tblGrid>
      <w:tr w:rsidR="009E2BF4" w:rsidRPr="00555105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55105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9E2BF4" w:rsidRPr="00555105" w:rsidRDefault="00035AFB" w:rsidP="009E2BF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555105">
              <w:rPr>
                <w:rFonts w:ascii="Arial" w:hAnsi="Arial" w:cs="Arial"/>
                <w:color w:val="000000"/>
                <w:sz w:val="24"/>
                <w:szCs w:val="24"/>
              </w:rPr>
              <w:t>Grapevine organogenesis</w:t>
            </w:r>
          </w:p>
        </w:tc>
      </w:tr>
      <w:tr w:rsidR="009E2BF4" w:rsidRPr="00555105" w:rsidTr="009E2BF4">
        <w:tc>
          <w:tcPr>
            <w:tcW w:w="2092" w:type="dxa"/>
            <w:gridSpan w:val="2"/>
            <w:vAlign w:val="center"/>
          </w:tcPr>
          <w:p w:rsidR="009E2BF4" w:rsidRPr="00555105" w:rsidRDefault="009E2BF4" w:rsidP="00FB6B61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Course id:</w:t>
            </w:r>
            <w:r w:rsidR="00035AFB" w:rsidRPr="00555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B6B61" w:rsidRPr="00555105">
              <w:rPr>
                <w:rFonts w:ascii="Arial" w:eastAsia="Times New Roman" w:hAnsi="Arial" w:cs="Arial"/>
                <w:sz w:val="16"/>
                <w:szCs w:val="16"/>
              </w:rPr>
              <w:t>3MВВ1О03</w:t>
            </w:r>
          </w:p>
        </w:tc>
        <w:tc>
          <w:tcPr>
            <w:tcW w:w="7530" w:type="dxa"/>
            <w:gridSpan w:val="11"/>
            <w:vMerge/>
          </w:tcPr>
          <w:p w:rsidR="009E2BF4" w:rsidRPr="00555105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555105" w:rsidTr="009E2BF4">
        <w:tc>
          <w:tcPr>
            <w:tcW w:w="2092" w:type="dxa"/>
            <w:gridSpan w:val="2"/>
            <w:vAlign w:val="center"/>
          </w:tcPr>
          <w:p w:rsidR="009E2BF4" w:rsidRPr="00555105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035AFB" w:rsidRPr="00555105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11"/>
            <w:vMerge/>
          </w:tcPr>
          <w:p w:rsidR="009E2BF4" w:rsidRPr="00555105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555105" w:rsidTr="009E2BF4">
        <w:tc>
          <w:tcPr>
            <w:tcW w:w="2092" w:type="dxa"/>
            <w:gridSpan w:val="2"/>
            <w:vAlign w:val="center"/>
          </w:tcPr>
          <w:p w:rsidR="002611DF" w:rsidRPr="00555105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2611DF" w:rsidRPr="00555105" w:rsidRDefault="00035AFB" w:rsidP="00035AFB">
            <w:pPr>
              <w:rPr>
                <w:rFonts w:ascii="Arial" w:hAnsi="Arial" w:cs="Arial"/>
                <w:sz w:val="20"/>
                <w:szCs w:val="20"/>
              </w:rPr>
            </w:pPr>
            <w:r w:rsidRPr="00555105">
              <w:rPr>
                <w:rFonts w:ascii="Arial" w:hAnsi="Arial" w:cs="Arial"/>
                <w:sz w:val="20"/>
                <w:szCs w:val="20"/>
              </w:rPr>
              <w:t xml:space="preserve">Ivan D. </w:t>
            </w:r>
            <w:proofErr w:type="spellStart"/>
            <w:r w:rsidRPr="00555105">
              <w:rPr>
                <w:rFonts w:ascii="Arial" w:hAnsi="Arial" w:cs="Arial"/>
                <w:sz w:val="20"/>
                <w:szCs w:val="20"/>
              </w:rPr>
              <w:t>Kuljančić</w:t>
            </w:r>
            <w:proofErr w:type="spellEnd"/>
          </w:p>
        </w:tc>
      </w:tr>
      <w:tr w:rsidR="00DF0ABC" w:rsidRPr="00555105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555105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555105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DF0ABC" w:rsidRPr="00555105" w:rsidRDefault="00AE67EE" w:rsidP="0084052A">
            <w:pPr>
              <w:rPr>
                <w:rFonts w:ascii="Arial" w:hAnsi="Arial" w:cs="Arial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Mandatory</w:t>
            </w:r>
          </w:p>
        </w:tc>
      </w:tr>
      <w:tr w:rsidR="009E2BF4" w:rsidRPr="00555105" w:rsidTr="00F86F06">
        <w:trPr>
          <w:trHeight w:val="368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555105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  <w:r w:rsidR="0084052A" w:rsidRPr="00555105">
              <w:rPr>
                <w:rFonts w:ascii="Arial" w:hAnsi="Arial" w:cs="Arial"/>
                <w:sz w:val="16"/>
                <w:szCs w:val="16"/>
              </w:rPr>
              <w:t xml:space="preserve">  3</w:t>
            </w:r>
          </w:p>
        </w:tc>
      </w:tr>
      <w:tr w:rsidR="009E2BF4" w:rsidRPr="00555105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55105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Lectures:</w:t>
            </w:r>
            <w:r w:rsidR="002836E3" w:rsidRPr="00555105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55105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2836E3" w:rsidRPr="00555105">
              <w:rPr>
                <w:rFonts w:ascii="Arial" w:hAnsi="Arial" w:cs="Arial"/>
                <w:sz w:val="16"/>
                <w:szCs w:val="16"/>
              </w:rPr>
              <w:t xml:space="preserve"> 30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55105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55105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555105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555105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55105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9E2BF4" w:rsidRPr="00555105" w:rsidRDefault="00035AFB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Grapevine biology and reproduction,  Grapevine growing and technology, Nursery production</w:t>
            </w:r>
          </w:p>
        </w:tc>
      </w:tr>
      <w:tr w:rsidR="005E42D1" w:rsidRPr="00555105" w:rsidTr="00A33A4A">
        <w:tc>
          <w:tcPr>
            <w:tcW w:w="9622" w:type="dxa"/>
            <w:gridSpan w:val="13"/>
          </w:tcPr>
          <w:p w:rsidR="005E42D1" w:rsidRPr="0055510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555105" w:rsidRDefault="00272B88" w:rsidP="005C40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555105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proofErr w:type="gramEnd"/>
            <w:r w:rsidRPr="00555105">
              <w:rPr>
                <w:rFonts w:ascii="Arial" w:hAnsi="Arial" w:cs="Arial"/>
                <w:bCs/>
                <w:sz w:val="20"/>
                <w:szCs w:val="20"/>
              </w:rPr>
              <w:t xml:space="preserve"> education and training of master students in the field of grapevine organogenesis. Candidate should be based registry study of literatures and scientific works, expand knowledge of the </w:t>
            </w:r>
            <w:r w:rsidR="005C4066" w:rsidRPr="00555105">
              <w:rPr>
                <w:rFonts w:ascii="Arial" w:hAnsi="Arial" w:cs="Arial"/>
                <w:bCs/>
                <w:sz w:val="20"/>
                <w:szCs w:val="20"/>
              </w:rPr>
              <w:t xml:space="preserve">origin of some organs and tissues. </w:t>
            </w:r>
          </w:p>
        </w:tc>
      </w:tr>
      <w:tr w:rsidR="005E42D1" w:rsidRPr="00555105" w:rsidTr="001C02FB">
        <w:tc>
          <w:tcPr>
            <w:tcW w:w="9622" w:type="dxa"/>
            <w:gridSpan w:val="13"/>
          </w:tcPr>
          <w:p w:rsidR="005E42D1" w:rsidRPr="0055510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905C16" w:rsidRPr="00555105" w:rsidRDefault="00905C16" w:rsidP="00F86F06">
            <w:pPr>
              <w:rPr>
                <w:rFonts w:ascii="Arial" w:hAnsi="Arial" w:cs="Arial"/>
                <w:sz w:val="20"/>
                <w:szCs w:val="20"/>
              </w:rPr>
            </w:pPr>
            <w:r w:rsidRPr="00555105">
              <w:rPr>
                <w:rFonts w:ascii="Arial" w:hAnsi="Arial" w:cs="Arial"/>
                <w:bCs/>
                <w:sz w:val="20"/>
                <w:szCs w:val="20"/>
              </w:rPr>
              <w:t xml:space="preserve">the formation of professionals with academic qualifications, which has an extended knowledge in relation to the knowledge acquired at the undergraduate studies. Student must be prepared to upgrade his </w:t>
            </w:r>
            <w:r w:rsidR="00EC73DD" w:rsidRPr="00555105">
              <w:rPr>
                <w:rFonts w:ascii="Arial" w:hAnsi="Arial" w:cs="Arial"/>
                <w:bCs/>
                <w:sz w:val="20"/>
                <w:szCs w:val="20"/>
              </w:rPr>
              <w:t>knowledge, in the field of grapevine organogenesis,</w:t>
            </w:r>
            <w:r w:rsidR="00F86F06" w:rsidRPr="005551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86F06" w:rsidRPr="00555105">
              <w:rPr>
                <w:rFonts w:ascii="Arial" w:hAnsi="Arial" w:cs="Arial"/>
                <w:sz w:val="20"/>
                <w:szCs w:val="20"/>
              </w:rPr>
              <w:t>in both</w:t>
            </w:r>
            <w:r w:rsidR="00DF36B7" w:rsidRPr="00555105">
              <w:rPr>
                <w:rFonts w:ascii="Arial" w:hAnsi="Arial" w:cs="Arial"/>
                <w:sz w:val="20"/>
                <w:szCs w:val="20"/>
              </w:rPr>
              <w:t>,</w:t>
            </w:r>
            <w:r w:rsidR="00F86F06" w:rsidRPr="00555105">
              <w:rPr>
                <w:rFonts w:ascii="Arial" w:hAnsi="Arial" w:cs="Arial"/>
                <w:sz w:val="20"/>
                <w:szCs w:val="20"/>
              </w:rPr>
              <w:t xml:space="preserve"> theor</w:t>
            </w:r>
            <w:r w:rsidR="00EA7035" w:rsidRPr="00555105">
              <w:rPr>
                <w:rFonts w:ascii="Arial" w:hAnsi="Arial" w:cs="Arial"/>
                <w:sz w:val="20"/>
                <w:szCs w:val="20"/>
              </w:rPr>
              <w:t>etical</w:t>
            </w:r>
            <w:r w:rsidR="00F86F06" w:rsidRPr="00555105">
              <w:rPr>
                <w:rFonts w:ascii="Arial" w:hAnsi="Arial" w:cs="Arial"/>
                <w:sz w:val="20"/>
                <w:szCs w:val="20"/>
              </w:rPr>
              <w:t xml:space="preserve"> and practical work, and especially on the </w:t>
            </w:r>
            <w:r w:rsidR="00302B46" w:rsidRPr="00555105">
              <w:rPr>
                <w:rFonts w:ascii="Arial" w:hAnsi="Arial" w:cs="Arial"/>
                <w:sz w:val="20"/>
                <w:szCs w:val="20"/>
              </w:rPr>
              <w:t>terrain in the vineyard. He must be prepared</w:t>
            </w:r>
            <w:r w:rsidR="00F86F06" w:rsidRPr="00555105">
              <w:rPr>
                <w:rFonts w:ascii="Arial" w:hAnsi="Arial" w:cs="Arial"/>
                <w:sz w:val="20"/>
                <w:szCs w:val="20"/>
              </w:rPr>
              <w:t xml:space="preserve"> to resolve a large number of problems, which are increasingly common in the last time, in </w:t>
            </w:r>
            <w:r w:rsidR="00302B46" w:rsidRPr="00555105">
              <w:rPr>
                <w:rFonts w:ascii="Arial" w:hAnsi="Arial" w:cs="Arial"/>
                <w:sz w:val="20"/>
                <w:szCs w:val="20"/>
              </w:rPr>
              <w:t xml:space="preserve">nursery </w:t>
            </w:r>
            <w:r w:rsidR="00F86F06" w:rsidRPr="00555105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302B46" w:rsidRPr="00555105">
              <w:rPr>
                <w:rFonts w:ascii="Arial" w:hAnsi="Arial" w:cs="Arial"/>
                <w:sz w:val="20"/>
                <w:szCs w:val="20"/>
              </w:rPr>
              <w:t xml:space="preserve">grapevine </w:t>
            </w:r>
            <w:r w:rsidR="00F86F06" w:rsidRPr="00555105">
              <w:rPr>
                <w:rFonts w:ascii="Arial" w:hAnsi="Arial" w:cs="Arial"/>
                <w:sz w:val="20"/>
                <w:szCs w:val="20"/>
              </w:rPr>
              <w:t>production.</w:t>
            </w:r>
          </w:p>
        </w:tc>
      </w:tr>
      <w:tr w:rsidR="005E42D1" w:rsidRPr="00555105" w:rsidTr="00A615B9">
        <w:tc>
          <w:tcPr>
            <w:tcW w:w="9622" w:type="dxa"/>
            <w:gridSpan w:val="13"/>
          </w:tcPr>
          <w:p w:rsidR="005E42D1" w:rsidRPr="0055510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DF36B7" w:rsidRPr="00555105" w:rsidRDefault="00DF36B7" w:rsidP="00DF36B7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55105">
              <w:rPr>
                <w:rFonts w:ascii="Arial" w:hAnsi="Arial" w:cs="Arial"/>
                <w:sz w:val="20"/>
                <w:szCs w:val="20"/>
              </w:rPr>
              <w:t>Root: root zones, primary</w:t>
            </w:r>
            <w:r w:rsidRPr="00555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3185F" w:rsidRPr="00555105">
              <w:rPr>
                <w:rFonts w:ascii="Arial" w:hAnsi="Arial" w:cs="Arial"/>
                <w:sz w:val="20"/>
                <w:szCs w:val="20"/>
              </w:rPr>
              <w:t>anatomical cross-section of roots, sec</w:t>
            </w:r>
            <w:r w:rsidR="0024706A" w:rsidRPr="00555105">
              <w:rPr>
                <w:rFonts w:ascii="Arial" w:hAnsi="Arial" w:cs="Arial"/>
                <w:sz w:val="20"/>
                <w:szCs w:val="20"/>
              </w:rPr>
              <w:t>o</w:t>
            </w:r>
            <w:r w:rsidR="0093185F" w:rsidRPr="00555105">
              <w:rPr>
                <w:rFonts w:ascii="Arial" w:hAnsi="Arial" w:cs="Arial"/>
                <w:sz w:val="20"/>
                <w:szCs w:val="20"/>
              </w:rPr>
              <w:t xml:space="preserve">ndary anatomical cross-section of roots (cambium activity, </w:t>
            </w:r>
            <w:proofErr w:type="spellStart"/>
            <w:r w:rsidR="0093185F" w:rsidRPr="00555105">
              <w:rPr>
                <w:rFonts w:ascii="Arial" w:hAnsi="Arial" w:cs="Arial"/>
                <w:sz w:val="20"/>
                <w:szCs w:val="20"/>
              </w:rPr>
              <w:t>felogen</w:t>
            </w:r>
            <w:proofErr w:type="spellEnd"/>
            <w:r w:rsidR="0093185F" w:rsidRPr="00555105">
              <w:rPr>
                <w:rFonts w:ascii="Arial" w:hAnsi="Arial" w:cs="Arial"/>
                <w:sz w:val="20"/>
                <w:szCs w:val="20"/>
              </w:rPr>
              <w:t xml:space="preserve"> activity), </w:t>
            </w:r>
            <w:proofErr w:type="spellStart"/>
            <w:r w:rsidR="0093185F" w:rsidRPr="00555105">
              <w:rPr>
                <w:rFonts w:ascii="Arial" w:hAnsi="Arial" w:cs="Arial"/>
                <w:sz w:val="20"/>
                <w:szCs w:val="20"/>
              </w:rPr>
              <w:t>adventive</w:t>
            </w:r>
            <w:proofErr w:type="spellEnd"/>
            <w:r w:rsidR="0093185F" w:rsidRPr="00555105">
              <w:rPr>
                <w:rFonts w:ascii="Arial" w:hAnsi="Arial" w:cs="Arial"/>
                <w:sz w:val="20"/>
                <w:szCs w:val="20"/>
              </w:rPr>
              <w:t xml:space="preserve"> roots formation (with green and mature  shoots)</w:t>
            </w:r>
          </w:p>
          <w:p w:rsidR="0093185F" w:rsidRPr="00555105" w:rsidRDefault="0093185F" w:rsidP="00DF36B7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555105">
              <w:rPr>
                <w:rFonts w:ascii="Arial" w:hAnsi="Arial" w:cs="Arial"/>
                <w:sz w:val="20"/>
                <w:szCs w:val="20"/>
              </w:rPr>
              <w:t>Shoot:  primary</w:t>
            </w:r>
            <w:r w:rsidRPr="005551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5105">
              <w:rPr>
                <w:rFonts w:ascii="Arial" w:hAnsi="Arial" w:cs="Arial"/>
                <w:sz w:val="20"/>
                <w:szCs w:val="20"/>
              </w:rPr>
              <w:t>anatomical cross-section of shoot,  sec</w:t>
            </w:r>
            <w:r w:rsidR="0024706A" w:rsidRPr="00555105">
              <w:rPr>
                <w:rFonts w:ascii="Arial" w:hAnsi="Arial" w:cs="Arial"/>
                <w:sz w:val="20"/>
                <w:szCs w:val="20"/>
              </w:rPr>
              <w:t>o</w:t>
            </w:r>
            <w:r w:rsidRPr="00555105">
              <w:rPr>
                <w:rFonts w:ascii="Arial" w:hAnsi="Arial" w:cs="Arial"/>
                <w:sz w:val="20"/>
                <w:szCs w:val="20"/>
              </w:rPr>
              <w:t xml:space="preserve">ndary anatomical cross-section of shoot ( cambium activity, </w:t>
            </w:r>
            <w:proofErr w:type="spellStart"/>
            <w:r w:rsidRPr="00555105">
              <w:rPr>
                <w:rFonts w:ascii="Arial" w:hAnsi="Arial" w:cs="Arial"/>
                <w:sz w:val="20"/>
                <w:szCs w:val="20"/>
              </w:rPr>
              <w:t>felogen</w:t>
            </w:r>
            <w:proofErr w:type="spellEnd"/>
            <w:r w:rsidRPr="00555105">
              <w:rPr>
                <w:rFonts w:ascii="Arial" w:hAnsi="Arial" w:cs="Arial"/>
                <w:sz w:val="20"/>
                <w:szCs w:val="20"/>
              </w:rPr>
              <w:t xml:space="preserve"> activity).</w:t>
            </w:r>
          </w:p>
          <w:p w:rsidR="005E42D1" w:rsidRPr="00555105" w:rsidRDefault="0093185F" w:rsidP="002E0B50">
            <w:pPr>
              <w:pStyle w:val="ListParagraph"/>
              <w:ind w:left="284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20"/>
                <w:szCs w:val="20"/>
              </w:rPr>
              <w:t xml:space="preserve">Inflorescence, flower, berry:  </w:t>
            </w:r>
            <w:proofErr w:type="spellStart"/>
            <w:r w:rsidR="0024706A" w:rsidRPr="00555105">
              <w:rPr>
                <w:rFonts w:ascii="Arial" w:hAnsi="Arial" w:cs="Arial"/>
                <w:sz w:val="20"/>
                <w:szCs w:val="20"/>
              </w:rPr>
              <w:t>origine</w:t>
            </w:r>
            <w:proofErr w:type="spellEnd"/>
            <w:r w:rsidR="0024706A" w:rsidRPr="00555105">
              <w:rPr>
                <w:rFonts w:ascii="Arial" w:hAnsi="Arial" w:cs="Arial"/>
                <w:sz w:val="20"/>
                <w:szCs w:val="20"/>
              </w:rPr>
              <w:t xml:space="preserve"> and formation of inflorescence, flower </w:t>
            </w:r>
            <w:proofErr w:type="spellStart"/>
            <w:r w:rsidR="0024706A" w:rsidRPr="00555105">
              <w:rPr>
                <w:rFonts w:ascii="Arial" w:hAnsi="Arial" w:cs="Arial"/>
                <w:sz w:val="20"/>
                <w:szCs w:val="20"/>
              </w:rPr>
              <w:t>origine</w:t>
            </w:r>
            <w:proofErr w:type="spellEnd"/>
            <w:r w:rsidR="0024706A" w:rsidRPr="00555105">
              <w:rPr>
                <w:rFonts w:ascii="Arial" w:hAnsi="Arial" w:cs="Arial"/>
                <w:sz w:val="20"/>
                <w:szCs w:val="20"/>
              </w:rPr>
              <w:t xml:space="preserve"> and its formation, </w:t>
            </w:r>
            <w:proofErr w:type="spellStart"/>
            <w:r w:rsidR="00361AC3" w:rsidRPr="00555105">
              <w:rPr>
                <w:rFonts w:ascii="Arial" w:hAnsi="Arial" w:cs="Arial"/>
                <w:sz w:val="20"/>
                <w:szCs w:val="20"/>
              </w:rPr>
              <w:t>macrosporogenesis</w:t>
            </w:r>
            <w:proofErr w:type="spellEnd"/>
            <w:r w:rsidR="00361AC3" w:rsidRPr="0055510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61AC3" w:rsidRPr="00555105">
              <w:rPr>
                <w:rFonts w:ascii="Arial" w:hAnsi="Arial" w:cs="Arial"/>
                <w:sz w:val="20"/>
                <w:szCs w:val="20"/>
              </w:rPr>
              <w:t>microsporogenesis</w:t>
            </w:r>
            <w:proofErr w:type="spellEnd"/>
            <w:r w:rsidR="00361AC3" w:rsidRPr="00555105">
              <w:rPr>
                <w:rFonts w:ascii="Arial" w:hAnsi="Arial" w:cs="Arial"/>
                <w:sz w:val="20"/>
                <w:szCs w:val="20"/>
              </w:rPr>
              <w:t xml:space="preserve">, flowering, pollination and fertilization, </w:t>
            </w:r>
            <w:r w:rsidR="002E0B50" w:rsidRPr="00555105">
              <w:rPr>
                <w:rFonts w:ascii="Arial" w:hAnsi="Arial" w:cs="Arial"/>
                <w:sz w:val="20"/>
                <w:szCs w:val="20"/>
              </w:rPr>
              <w:t>berry structure, seed structure.</w:t>
            </w:r>
          </w:p>
        </w:tc>
      </w:tr>
      <w:tr w:rsidR="005E42D1" w:rsidRPr="00555105" w:rsidTr="005E42D1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5E42D1" w:rsidRPr="00555105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FA513F" w:rsidRPr="00555105" w:rsidRDefault="00FA513F" w:rsidP="00FA513F">
            <w:pPr>
              <w:rPr>
                <w:rFonts w:ascii="Arial" w:hAnsi="Arial" w:cs="Arial"/>
                <w:sz w:val="20"/>
                <w:szCs w:val="20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555105">
              <w:rPr>
                <w:rFonts w:ascii="Arial" w:hAnsi="Arial" w:cs="Arial"/>
                <w:sz w:val="20"/>
                <w:szCs w:val="20"/>
                <w:lang w:val="sr-Cyrl-CS"/>
              </w:rPr>
              <w:t xml:space="preserve"> Teaching and research are conducted in the classrooms of the Faculty of Agriculture</w:t>
            </w:r>
            <w:r w:rsidRPr="005551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E42D1" w:rsidRPr="00555105" w:rsidRDefault="00FA513F" w:rsidP="00FA513F">
            <w:pPr>
              <w:rPr>
                <w:rFonts w:ascii="Arial" w:hAnsi="Arial" w:cs="Arial"/>
                <w:sz w:val="20"/>
                <w:szCs w:val="20"/>
              </w:rPr>
            </w:pPr>
            <w:r w:rsidRPr="00555105">
              <w:rPr>
                <w:rFonts w:ascii="Arial" w:hAnsi="Arial" w:cs="Arial"/>
                <w:sz w:val="20"/>
                <w:szCs w:val="20"/>
              </w:rPr>
              <w:t xml:space="preserve">       Practical classes an research work: at </w:t>
            </w:r>
            <w:r w:rsidRPr="00555105">
              <w:rPr>
                <w:rFonts w:ascii="Arial" w:hAnsi="Arial" w:cs="Arial"/>
                <w:sz w:val="20"/>
                <w:szCs w:val="20"/>
                <w:lang w:val="sr-Cyrl-CS"/>
              </w:rPr>
              <w:t xml:space="preserve">the experimental field of </w:t>
            </w:r>
            <w:proofErr w:type="spellStart"/>
            <w:r w:rsidRPr="00555105">
              <w:rPr>
                <w:rFonts w:ascii="Arial" w:hAnsi="Arial" w:cs="Arial"/>
                <w:sz w:val="20"/>
                <w:szCs w:val="20"/>
              </w:rPr>
              <w:t>Sremski</w:t>
            </w:r>
            <w:proofErr w:type="spellEnd"/>
            <w:r w:rsidRPr="0055510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55105">
              <w:rPr>
                <w:rFonts w:ascii="Arial" w:hAnsi="Arial" w:cs="Arial"/>
                <w:sz w:val="20"/>
                <w:szCs w:val="20"/>
              </w:rPr>
              <w:t>Karlovci</w:t>
            </w:r>
            <w:proofErr w:type="spellEnd"/>
            <w:r w:rsidRPr="00555105">
              <w:rPr>
                <w:rFonts w:ascii="Arial" w:hAnsi="Arial" w:cs="Arial"/>
                <w:sz w:val="20"/>
                <w:szCs w:val="20"/>
                <w:lang w:val="sr-Cyrl-CS"/>
              </w:rPr>
              <w:t xml:space="preserve">, using the </w:t>
            </w:r>
            <w:r w:rsidRPr="00555105">
              <w:rPr>
                <w:rFonts w:ascii="Arial" w:hAnsi="Arial" w:cs="Arial"/>
                <w:sz w:val="20"/>
                <w:szCs w:val="20"/>
              </w:rPr>
              <w:t xml:space="preserve">contemporary </w:t>
            </w:r>
            <w:r w:rsidRPr="00555105">
              <w:rPr>
                <w:rFonts w:ascii="Arial" w:hAnsi="Arial" w:cs="Arial"/>
                <w:sz w:val="20"/>
                <w:szCs w:val="20"/>
                <w:lang w:val="sr-Cyrl-CS"/>
              </w:rPr>
              <w:t>techniques.</w:t>
            </w:r>
          </w:p>
        </w:tc>
      </w:tr>
      <w:tr w:rsidR="005E42D1" w:rsidRPr="00555105" w:rsidTr="005E42D1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55105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555105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55105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55105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55105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555105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 w:rsidRPr="00555105"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 w:rsidRPr="0055510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55105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55105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555105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55105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55105" w:rsidRDefault="005E42D1" w:rsidP="00D02E1F">
            <w:pPr>
              <w:jc w:val="center"/>
              <w:rPr>
                <w:rFonts w:ascii="Arial" w:hAnsi="Arial" w:cs="Arial"/>
              </w:rPr>
            </w:pPr>
            <w:r w:rsidRPr="00555105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555105">
              <w:rPr>
                <w:rFonts w:ascii="Arial" w:hAnsi="Arial" w:cs="Arial"/>
                <w:sz w:val="16"/>
                <w:szCs w:val="16"/>
              </w:rPr>
              <w:t>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55105" w:rsidRDefault="00601987" w:rsidP="006019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527" w:type="dxa"/>
            <w:gridSpan w:val="3"/>
            <w:shd w:val="clear" w:color="auto" w:fill="auto"/>
            <w:vAlign w:val="center"/>
          </w:tcPr>
          <w:p w:rsidR="005E42D1" w:rsidRPr="00555105" w:rsidRDefault="00D02E1F" w:rsidP="00601987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555105">
              <w:rPr>
                <w:rFonts w:ascii="Arial" w:hAnsi="Arial" w:cs="Arial"/>
                <w:i/>
                <w:sz w:val="14"/>
                <w:szCs w:val="14"/>
              </w:rPr>
              <w:t>Theoretical part of the exam/Oral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55105" w:rsidRDefault="00D02E1F" w:rsidP="005E42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5105">
              <w:rPr>
                <w:rFonts w:ascii="Arial" w:hAnsi="Arial" w:cs="Arial"/>
                <w:b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55105" w:rsidRDefault="0060198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D02E1F" w:rsidRPr="00555105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555105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Pr="00555105" w:rsidRDefault="00D02E1F" w:rsidP="00D02E1F">
            <w:pPr>
              <w:jc w:val="center"/>
              <w:rPr>
                <w:rFonts w:ascii="Arial" w:hAnsi="Arial" w:cs="Arial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Yes/No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55105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6"/>
            <w:vMerge w:val="restart"/>
            <w:shd w:val="clear" w:color="auto" w:fill="auto"/>
            <w:vAlign w:val="center"/>
          </w:tcPr>
          <w:p w:rsidR="00D02E1F" w:rsidRPr="00555105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555105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555105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Pr="00555105" w:rsidRDefault="00D02E1F" w:rsidP="00D02E1F">
            <w:pPr>
              <w:jc w:val="center"/>
              <w:rPr>
                <w:rFonts w:ascii="Arial" w:hAnsi="Arial" w:cs="Arial"/>
              </w:rPr>
            </w:pPr>
            <w:r w:rsidRPr="00555105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555105">
              <w:rPr>
                <w:rFonts w:ascii="Arial" w:hAnsi="Arial" w:cs="Arial"/>
                <w:sz w:val="16"/>
                <w:szCs w:val="16"/>
              </w:rPr>
              <w:t>/No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55105" w:rsidRDefault="0060198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6"/>
            <w:vMerge/>
            <w:shd w:val="clear" w:color="auto" w:fill="auto"/>
            <w:vAlign w:val="center"/>
          </w:tcPr>
          <w:p w:rsidR="00D02E1F" w:rsidRPr="00555105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555105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55105" w:rsidRDefault="00D02E1F" w:rsidP="00601987">
            <w:pPr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i/>
                <w:sz w:val="16"/>
                <w:szCs w:val="16"/>
              </w:rPr>
              <w:t>Term paper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55105" w:rsidRDefault="00D02E1F" w:rsidP="00D02E1F">
            <w:pPr>
              <w:jc w:val="center"/>
              <w:rPr>
                <w:rFonts w:ascii="Arial" w:hAnsi="Arial" w:cs="Arial"/>
              </w:rPr>
            </w:pPr>
            <w:r w:rsidRPr="00555105">
              <w:rPr>
                <w:rFonts w:ascii="Arial" w:hAnsi="Arial" w:cs="Arial"/>
                <w:b/>
                <w:sz w:val="16"/>
                <w:szCs w:val="16"/>
              </w:rPr>
              <w:t>Yes</w:t>
            </w:r>
            <w:r w:rsidRPr="00555105">
              <w:rPr>
                <w:rFonts w:ascii="Arial" w:hAnsi="Arial" w:cs="Arial"/>
                <w:sz w:val="16"/>
                <w:szCs w:val="16"/>
              </w:rPr>
              <w:t>/No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55105" w:rsidRDefault="00601987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55105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555105" w:rsidTr="00D02E1F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D02E1F" w:rsidRPr="00555105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555105" w:rsidTr="00023466">
        <w:tc>
          <w:tcPr>
            <w:tcW w:w="675" w:type="dxa"/>
            <w:vAlign w:val="center"/>
          </w:tcPr>
          <w:p w:rsidR="005E42D1" w:rsidRPr="00555105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Ord.</w:t>
            </w:r>
          </w:p>
        </w:tc>
        <w:tc>
          <w:tcPr>
            <w:tcW w:w="2410" w:type="dxa"/>
            <w:gridSpan w:val="3"/>
            <w:vAlign w:val="center"/>
          </w:tcPr>
          <w:p w:rsidR="005E42D1" w:rsidRPr="00555105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Author</w:t>
            </w:r>
          </w:p>
        </w:tc>
        <w:tc>
          <w:tcPr>
            <w:tcW w:w="2410" w:type="dxa"/>
            <w:gridSpan w:val="4"/>
            <w:vAlign w:val="center"/>
          </w:tcPr>
          <w:p w:rsidR="005E42D1" w:rsidRPr="00555105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2977" w:type="dxa"/>
            <w:gridSpan w:val="4"/>
            <w:vAlign w:val="center"/>
          </w:tcPr>
          <w:p w:rsidR="005E42D1" w:rsidRPr="00555105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555105" w:rsidRDefault="00D02E1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5E42D1" w:rsidRPr="00555105" w:rsidTr="00023466">
        <w:tc>
          <w:tcPr>
            <w:tcW w:w="675" w:type="dxa"/>
            <w:vAlign w:val="center"/>
          </w:tcPr>
          <w:p w:rsidR="005E42D1" w:rsidRPr="00555105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5E42D1" w:rsidRPr="00555105" w:rsidRDefault="000B2C14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Ivan D. Kuljančić</w:t>
            </w:r>
          </w:p>
        </w:tc>
        <w:tc>
          <w:tcPr>
            <w:tcW w:w="2410" w:type="dxa"/>
            <w:gridSpan w:val="4"/>
            <w:vAlign w:val="center"/>
          </w:tcPr>
          <w:p w:rsidR="000B2C14" w:rsidRPr="00555105" w:rsidRDefault="000B2C14" w:rsidP="000B2C14">
            <w:pPr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555105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Pr="00555105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Vinogradarstvo-vinova loza ta božanska biljka</w:t>
            </w:r>
          </w:p>
          <w:p w:rsidR="005E42D1" w:rsidRPr="00555105" w:rsidRDefault="005E42D1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5E42D1" w:rsidRPr="00555105" w:rsidRDefault="000B2C14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55105">
              <w:rPr>
                <w:rFonts w:ascii="Arial" w:hAnsi="Arial" w:cs="Arial"/>
                <w:sz w:val="18"/>
                <w:szCs w:val="18"/>
              </w:rPr>
              <w:t>Prometej</w:t>
            </w:r>
            <w:proofErr w:type="spellEnd"/>
            <w:r w:rsidRPr="00555105">
              <w:rPr>
                <w:rFonts w:ascii="Arial" w:hAnsi="Arial" w:cs="Arial"/>
                <w:sz w:val="18"/>
                <w:szCs w:val="18"/>
              </w:rPr>
              <w:t>, Novi Sad</w:t>
            </w:r>
          </w:p>
        </w:tc>
        <w:tc>
          <w:tcPr>
            <w:tcW w:w="1150" w:type="dxa"/>
            <w:vAlign w:val="center"/>
          </w:tcPr>
          <w:p w:rsidR="005E42D1" w:rsidRPr="00555105" w:rsidRDefault="000B2C14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2007/2008</w:t>
            </w:r>
          </w:p>
        </w:tc>
      </w:tr>
      <w:tr w:rsidR="00D02E1F" w:rsidRPr="00555105" w:rsidTr="00023466">
        <w:tc>
          <w:tcPr>
            <w:tcW w:w="675" w:type="dxa"/>
            <w:vAlign w:val="center"/>
          </w:tcPr>
          <w:p w:rsidR="00D02E1F" w:rsidRPr="00555105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02E1F" w:rsidRPr="00555105" w:rsidRDefault="000B7E2F" w:rsidP="000B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Marcus Keller</w:t>
            </w:r>
          </w:p>
        </w:tc>
        <w:tc>
          <w:tcPr>
            <w:tcW w:w="2410" w:type="dxa"/>
            <w:gridSpan w:val="4"/>
            <w:vAlign w:val="center"/>
          </w:tcPr>
          <w:p w:rsidR="00D02E1F" w:rsidRPr="00555105" w:rsidRDefault="000B7E2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bCs/>
                <w:sz w:val="18"/>
                <w:szCs w:val="18"/>
              </w:rPr>
              <w:t>The science of grapevines-anatomy and physiology</w:t>
            </w:r>
          </w:p>
        </w:tc>
        <w:tc>
          <w:tcPr>
            <w:tcW w:w="2977" w:type="dxa"/>
            <w:gridSpan w:val="4"/>
            <w:vAlign w:val="center"/>
          </w:tcPr>
          <w:p w:rsidR="00D02E1F" w:rsidRPr="00555105" w:rsidRDefault="000B7E2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bCs/>
                <w:sz w:val="18"/>
                <w:szCs w:val="18"/>
              </w:rPr>
              <w:t>Elsevier-Academic Press, San Diego</w:t>
            </w:r>
          </w:p>
        </w:tc>
        <w:tc>
          <w:tcPr>
            <w:tcW w:w="1150" w:type="dxa"/>
            <w:vAlign w:val="center"/>
          </w:tcPr>
          <w:p w:rsidR="00D02E1F" w:rsidRPr="00555105" w:rsidRDefault="000B7E2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2012</w:t>
            </w:r>
            <w:r w:rsidR="007804EF" w:rsidRPr="0055510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B7E2F" w:rsidRPr="00555105" w:rsidTr="00023466">
        <w:tc>
          <w:tcPr>
            <w:tcW w:w="675" w:type="dxa"/>
            <w:vAlign w:val="center"/>
          </w:tcPr>
          <w:p w:rsidR="000B7E2F" w:rsidRPr="00555105" w:rsidRDefault="000B7E2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B7E2F" w:rsidRPr="00555105" w:rsidRDefault="000B7E2F" w:rsidP="000B7E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bCs/>
                <w:sz w:val="18"/>
                <w:szCs w:val="18"/>
              </w:rPr>
              <w:t xml:space="preserve">Peter R. Dry, B.G. </w:t>
            </w: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Coombe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0B7E2F" w:rsidRPr="00555105" w:rsidRDefault="000B7E2F" w:rsidP="007804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105">
              <w:rPr>
                <w:rFonts w:ascii="Arial" w:hAnsi="Arial" w:cs="Arial"/>
                <w:bCs/>
                <w:sz w:val="18"/>
                <w:szCs w:val="18"/>
              </w:rPr>
              <w:t>Viticulture (Volume 1)</w:t>
            </w:r>
          </w:p>
        </w:tc>
        <w:tc>
          <w:tcPr>
            <w:tcW w:w="2977" w:type="dxa"/>
            <w:gridSpan w:val="4"/>
            <w:vAlign w:val="center"/>
          </w:tcPr>
          <w:p w:rsidR="000B7E2F" w:rsidRPr="00555105" w:rsidRDefault="007804EF" w:rsidP="00D02E1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555105">
              <w:rPr>
                <w:rFonts w:ascii="Arial" w:hAnsi="Arial" w:cs="Arial"/>
                <w:bCs/>
                <w:sz w:val="18"/>
                <w:szCs w:val="18"/>
              </w:rPr>
              <w:t>Resources, Adelaide</w:t>
            </w:r>
          </w:p>
        </w:tc>
        <w:tc>
          <w:tcPr>
            <w:tcW w:w="1150" w:type="dxa"/>
            <w:vAlign w:val="center"/>
          </w:tcPr>
          <w:p w:rsidR="000B7E2F" w:rsidRPr="00555105" w:rsidRDefault="007804E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2004.</w:t>
            </w:r>
          </w:p>
        </w:tc>
      </w:tr>
      <w:tr w:rsidR="007804EF" w:rsidRPr="00555105" w:rsidTr="00023466">
        <w:tc>
          <w:tcPr>
            <w:tcW w:w="675" w:type="dxa"/>
            <w:vAlign w:val="center"/>
          </w:tcPr>
          <w:p w:rsidR="007804EF" w:rsidRPr="00555105" w:rsidRDefault="007804E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7804EF" w:rsidRPr="00555105" w:rsidRDefault="007804EF" w:rsidP="000B7E2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Nebojša</w:t>
            </w:r>
            <w:proofErr w:type="spellEnd"/>
            <w:r w:rsidRPr="005551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Marković</w:t>
            </w:r>
            <w:proofErr w:type="spellEnd"/>
            <w:r w:rsidRPr="00555105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Aleksandar</w:t>
            </w:r>
            <w:proofErr w:type="spellEnd"/>
            <w:r w:rsidRPr="005551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Nakalamić</w:t>
            </w:r>
            <w:proofErr w:type="spellEnd"/>
          </w:p>
        </w:tc>
        <w:tc>
          <w:tcPr>
            <w:tcW w:w="2410" w:type="dxa"/>
            <w:gridSpan w:val="4"/>
            <w:vAlign w:val="center"/>
          </w:tcPr>
          <w:p w:rsidR="007804EF" w:rsidRPr="00555105" w:rsidRDefault="007804EF" w:rsidP="007804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Opšte</w:t>
            </w:r>
            <w:proofErr w:type="spellEnd"/>
            <w:r w:rsidRPr="005551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vinogradarstvo</w:t>
            </w:r>
            <w:proofErr w:type="spellEnd"/>
          </w:p>
        </w:tc>
        <w:tc>
          <w:tcPr>
            <w:tcW w:w="2977" w:type="dxa"/>
            <w:gridSpan w:val="4"/>
            <w:vAlign w:val="center"/>
          </w:tcPr>
          <w:p w:rsidR="007804EF" w:rsidRPr="00555105" w:rsidRDefault="00023466" w:rsidP="007804EF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Poljoprivredni</w:t>
            </w:r>
            <w:proofErr w:type="spellEnd"/>
            <w:r w:rsidRPr="005551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fakultet</w:t>
            </w:r>
            <w:proofErr w:type="spellEnd"/>
            <w:r w:rsidRPr="005551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Zemun</w:t>
            </w:r>
            <w:proofErr w:type="spellEnd"/>
            <w:r w:rsidRPr="005551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555105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7804EF" w:rsidRPr="005551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804EF" w:rsidRPr="00555105">
              <w:rPr>
                <w:rFonts w:ascii="Arial" w:hAnsi="Arial" w:cs="Arial"/>
                <w:bCs/>
                <w:sz w:val="18"/>
                <w:szCs w:val="18"/>
              </w:rPr>
              <w:t>Zadužbina</w:t>
            </w:r>
            <w:proofErr w:type="spellEnd"/>
            <w:r w:rsidR="007804EF" w:rsidRPr="005551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804EF" w:rsidRPr="00555105">
              <w:rPr>
                <w:rFonts w:ascii="Arial" w:hAnsi="Arial" w:cs="Arial"/>
                <w:bCs/>
                <w:sz w:val="18"/>
                <w:szCs w:val="18"/>
              </w:rPr>
              <w:t>manastira</w:t>
            </w:r>
            <w:proofErr w:type="spellEnd"/>
            <w:r w:rsidR="007804EF" w:rsidRPr="0055510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7804EF" w:rsidRPr="00555105">
              <w:rPr>
                <w:rFonts w:ascii="Arial" w:hAnsi="Arial" w:cs="Arial"/>
                <w:bCs/>
                <w:sz w:val="18"/>
                <w:szCs w:val="18"/>
              </w:rPr>
              <w:t>Hilandara</w:t>
            </w:r>
            <w:proofErr w:type="spellEnd"/>
          </w:p>
        </w:tc>
        <w:tc>
          <w:tcPr>
            <w:tcW w:w="1150" w:type="dxa"/>
            <w:vAlign w:val="center"/>
          </w:tcPr>
          <w:p w:rsidR="007804EF" w:rsidRPr="00555105" w:rsidRDefault="007804EF" w:rsidP="00D02E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2009.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555105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555105" w:rsidRDefault="001312B9" w:rsidP="001312B9">
            <w:pPr>
              <w:jc w:val="center"/>
              <w:rPr>
                <w:rFonts w:ascii="Arial" w:hAnsi="Arial" w:cs="Arial"/>
              </w:rPr>
            </w:pPr>
            <w:r w:rsidRPr="00555105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555105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555105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555105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555105" w:rsidRDefault="001312B9" w:rsidP="001312B9">
            <w:pPr>
              <w:jc w:val="center"/>
              <w:rPr>
                <w:rFonts w:ascii="Arial" w:hAnsi="Arial" w:cs="Arial"/>
              </w:rPr>
            </w:pPr>
            <w:r w:rsidRPr="00555105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555105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555105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555105" w:rsidRDefault="008E0D2A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55105">
              <w:rPr>
                <w:rFonts w:ascii="Arial" w:hAnsi="Arial" w:cs="Arial"/>
                <w:sz w:val="28"/>
                <w:szCs w:val="28"/>
              </w:rPr>
              <w:t xml:space="preserve">Fruit growing and viticulture </w:t>
            </w:r>
          </w:p>
          <w:p w:rsidR="001312B9" w:rsidRPr="00555105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555105" w:rsidRDefault="001312B9" w:rsidP="008E0D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 xml:space="preserve">MASTER ACADEMIC STUDIES           </w:t>
            </w:r>
            <w:r w:rsidR="00555105" w:rsidRPr="00555105">
              <w:rPr>
                <w:rFonts w:ascii="Arial" w:hAnsi="Arial" w:cs="Arial"/>
                <w:sz w:val="18"/>
                <w:szCs w:val="18"/>
              </w:rPr>
              <w:t>(</w:t>
            </w:r>
            <w:r w:rsidR="00992682" w:rsidRPr="00555105">
              <w:rPr>
                <w:rFonts w:ascii="Arial" w:hAnsi="Arial" w:cs="Arial"/>
                <w:i/>
                <w:sz w:val="16"/>
                <w:szCs w:val="16"/>
              </w:rPr>
              <w:t>Fruit and vine growing</w:t>
            </w:r>
            <w:r w:rsidR="00555105" w:rsidRPr="00555105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55510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555105" w:rsidRDefault="001312B9">
            <w:pPr>
              <w:rPr>
                <w:rFonts w:ascii="Arial" w:hAnsi="Arial" w:cs="Arial"/>
              </w:rPr>
            </w:pPr>
          </w:p>
        </w:tc>
      </w:tr>
      <w:tr w:rsidR="001312B9" w:rsidRPr="00555105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555105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555105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DF0ABC" w:rsidRPr="00555105" w:rsidRDefault="00DF0ABC">
      <w:pPr>
        <w:rPr>
          <w:rFonts w:ascii="Arial" w:hAnsi="Arial" w:cs="Arial"/>
        </w:rPr>
      </w:pPr>
    </w:p>
    <w:sectPr w:rsidR="00DF0ABC" w:rsidRPr="00555105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255EDE"/>
    <w:rsid w:val="00023466"/>
    <w:rsid w:val="00035AFB"/>
    <w:rsid w:val="0008374A"/>
    <w:rsid w:val="000B2C14"/>
    <w:rsid w:val="000B7E2F"/>
    <w:rsid w:val="001312B9"/>
    <w:rsid w:val="001C742F"/>
    <w:rsid w:val="001F34D7"/>
    <w:rsid w:val="002319BC"/>
    <w:rsid w:val="0024706A"/>
    <w:rsid w:val="00255EDE"/>
    <w:rsid w:val="002611DF"/>
    <w:rsid w:val="00272B88"/>
    <w:rsid w:val="002836E3"/>
    <w:rsid w:val="002E0B50"/>
    <w:rsid w:val="00302B46"/>
    <w:rsid w:val="00322F84"/>
    <w:rsid w:val="00332A6E"/>
    <w:rsid w:val="00361AC3"/>
    <w:rsid w:val="004666C8"/>
    <w:rsid w:val="004C1CC6"/>
    <w:rsid w:val="00535E50"/>
    <w:rsid w:val="00555105"/>
    <w:rsid w:val="005C4066"/>
    <w:rsid w:val="005E42D1"/>
    <w:rsid w:val="00601987"/>
    <w:rsid w:val="00647939"/>
    <w:rsid w:val="007804EF"/>
    <w:rsid w:val="0084052A"/>
    <w:rsid w:val="008E0D2A"/>
    <w:rsid w:val="00905C16"/>
    <w:rsid w:val="00927F2D"/>
    <w:rsid w:val="0093185F"/>
    <w:rsid w:val="00992682"/>
    <w:rsid w:val="009B28FB"/>
    <w:rsid w:val="009E2BF4"/>
    <w:rsid w:val="00AE67EE"/>
    <w:rsid w:val="00B0705E"/>
    <w:rsid w:val="00C21CE9"/>
    <w:rsid w:val="00C72CD1"/>
    <w:rsid w:val="00CC0E96"/>
    <w:rsid w:val="00CC7AA9"/>
    <w:rsid w:val="00D02E1F"/>
    <w:rsid w:val="00D554D7"/>
    <w:rsid w:val="00D57E7D"/>
    <w:rsid w:val="00DA2AE6"/>
    <w:rsid w:val="00DF0ABC"/>
    <w:rsid w:val="00DF36B7"/>
    <w:rsid w:val="00E25F1D"/>
    <w:rsid w:val="00EA7035"/>
    <w:rsid w:val="00EC73DD"/>
    <w:rsid w:val="00F85023"/>
    <w:rsid w:val="00F86F06"/>
    <w:rsid w:val="00F87FB0"/>
    <w:rsid w:val="00FA2BED"/>
    <w:rsid w:val="00FA513F"/>
    <w:rsid w:val="00FB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0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sandra.bijelic</cp:lastModifiedBy>
  <cp:revision>22</cp:revision>
  <dcterms:created xsi:type="dcterms:W3CDTF">2014-12-09T10:44:00Z</dcterms:created>
  <dcterms:modified xsi:type="dcterms:W3CDTF">2015-01-22T10:57:00Z</dcterms:modified>
</cp:coreProperties>
</file>