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276"/>
        <w:gridCol w:w="141"/>
        <w:gridCol w:w="284"/>
        <w:gridCol w:w="1134"/>
        <w:gridCol w:w="567"/>
        <w:gridCol w:w="734"/>
        <w:gridCol w:w="1109"/>
        <w:gridCol w:w="1418"/>
        <w:gridCol w:w="425"/>
        <w:gridCol w:w="709"/>
        <w:gridCol w:w="1150"/>
      </w:tblGrid>
      <w:tr w:rsidR="009E2BF4" w:rsidTr="009E2BF4">
        <w:trPr>
          <w:trHeight w:val="420"/>
        </w:trPr>
        <w:tc>
          <w:tcPr>
            <w:tcW w:w="2092" w:type="dxa"/>
            <w:gridSpan w:val="3"/>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9E2BF4" w:rsidRDefault="00833D83" w:rsidP="009E2BF4">
            <w:pPr>
              <w:jc w:val="center"/>
              <w:rPr>
                <w:rFonts w:ascii="Arial" w:hAnsi="Arial" w:cs="Arial"/>
                <w:i/>
                <w:sz w:val="18"/>
                <w:szCs w:val="18"/>
              </w:rPr>
            </w:pPr>
            <w:r>
              <w:rPr>
                <w:rFonts w:ascii="Arial" w:hAnsi="Arial" w:cs="Arial"/>
                <w:i/>
                <w:sz w:val="18"/>
                <w:szCs w:val="18"/>
              </w:rPr>
              <w:t>Nutrition</w:t>
            </w:r>
            <w:r w:rsidR="0065462A">
              <w:rPr>
                <w:rFonts w:ascii="Arial" w:hAnsi="Arial" w:cs="Arial"/>
                <w:i/>
                <w:sz w:val="18"/>
                <w:szCs w:val="18"/>
              </w:rPr>
              <w:t xml:space="preserve"> and breeding of g</w:t>
            </w:r>
            <w:r>
              <w:rPr>
                <w:rFonts w:ascii="Arial" w:hAnsi="Arial" w:cs="Arial"/>
                <w:i/>
                <w:sz w:val="18"/>
                <w:szCs w:val="18"/>
              </w:rPr>
              <w:t>ame</w:t>
            </w:r>
          </w:p>
        </w:tc>
      </w:tr>
      <w:tr w:rsidR="009E2BF4" w:rsidTr="009E2BF4">
        <w:tc>
          <w:tcPr>
            <w:tcW w:w="2092" w:type="dxa"/>
            <w:gridSpan w:val="3"/>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65462A">
              <w:rPr>
                <w:rFonts w:ascii="Arial" w:hAnsi="Arial" w:cs="Arial"/>
                <w:sz w:val="16"/>
                <w:szCs w:val="16"/>
              </w:rPr>
              <w:t>3МST1I</w:t>
            </w:r>
            <w:r w:rsidR="00833D83" w:rsidRPr="00833D83">
              <w:rPr>
                <w:rFonts w:ascii="Arial" w:hAnsi="Arial" w:cs="Arial"/>
                <w:sz w:val="16"/>
                <w:szCs w:val="16"/>
              </w:rPr>
              <w:t>14</w:t>
            </w:r>
          </w:p>
        </w:tc>
        <w:tc>
          <w:tcPr>
            <w:tcW w:w="7530" w:type="dxa"/>
            <w:gridSpan w:val="9"/>
            <w:vMerge/>
          </w:tcPr>
          <w:p w:rsidR="009E2BF4" w:rsidRDefault="009E2BF4" w:rsidP="001312B9"/>
        </w:tc>
      </w:tr>
      <w:tr w:rsidR="009E2BF4" w:rsidTr="009E2BF4">
        <w:tc>
          <w:tcPr>
            <w:tcW w:w="2092" w:type="dxa"/>
            <w:gridSpan w:val="3"/>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0365A3">
              <w:rPr>
                <w:rFonts w:ascii="Arial" w:hAnsi="Arial" w:cs="Arial"/>
                <w:sz w:val="16"/>
                <w:szCs w:val="16"/>
              </w:rPr>
              <w:t>6</w:t>
            </w:r>
          </w:p>
        </w:tc>
        <w:tc>
          <w:tcPr>
            <w:tcW w:w="7530" w:type="dxa"/>
            <w:gridSpan w:val="9"/>
            <w:vMerge/>
          </w:tcPr>
          <w:p w:rsidR="009E2BF4" w:rsidRDefault="009E2BF4" w:rsidP="001312B9"/>
        </w:tc>
      </w:tr>
      <w:tr w:rsidR="002611DF" w:rsidTr="009E2BF4">
        <w:tc>
          <w:tcPr>
            <w:tcW w:w="2092" w:type="dxa"/>
            <w:gridSpan w:val="3"/>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9"/>
          </w:tcPr>
          <w:p w:rsidR="002611DF" w:rsidRPr="0065462A" w:rsidRDefault="00833D83" w:rsidP="001312B9">
            <w:pPr>
              <w:rPr>
                <w:sz w:val="16"/>
                <w:szCs w:val="16"/>
              </w:rPr>
            </w:pPr>
            <w:r w:rsidRPr="0065462A">
              <w:rPr>
                <w:sz w:val="16"/>
                <w:szCs w:val="16"/>
              </w:rPr>
              <w:t xml:space="preserve">Prof Dr </w:t>
            </w:r>
            <w:proofErr w:type="spellStart"/>
            <w:r w:rsidRPr="0065462A">
              <w:rPr>
                <w:sz w:val="16"/>
                <w:szCs w:val="16"/>
              </w:rPr>
              <w:t>Miloš</w:t>
            </w:r>
            <w:proofErr w:type="spellEnd"/>
            <w:r w:rsidRPr="0065462A">
              <w:rPr>
                <w:sz w:val="16"/>
                <w:szCs w:val="16"/>
              </w:rPr>
              <w:t xml:space="preserve"> </w:t>
            </w:r>
            <w:proofErr w:type="spellStart"/>
            <w:r w:rsidRPr="0065462A">
              <w:rPr>
                <w:sz w:val="16"/>
                <w:szCs w:val="16"/>
              </w:rPr>
              <w:t>Beuković</w:t>
            </w:r>
            <w:proofErr w:type="spellEnd"/>
          </w:p>
          <w:p w:rsidR="0065462A" w:rsidRDefault="0065462A" w:rsidP="001312B9">
            <w:r w:rsidRPr="0065462A">
              <w:rPr>
                <w:sz w:val="16"/>
                <w:szCs w:val="16"/>
              </w:rPr>
              <w:t xml:space="preserve">Dr Dejan </w:t>
            </w:r>
            <w:proofErr w:type="spellStart"/>
            <w:r w:rsidRPr="0065462A">
              <w:rPr>
                <w:sz w:val="16"/>
                <w:szCs w:val="16"/>
              </w:rPr>
              <w:t>Beuković</w:t>
            </w:r>
            <w:proofErr w:type="spellEnd"/>
          </w:p>
        </w:tc>
      </w:tr>
      <w:tr w:rsidR="00DF0ABC" w:rsidTr="009E2BF4">
        <w:tc>
          <w:tcPr>
            <w:tcW w:w="2092" w:type="dxa"/>
            <w:gridSpan w:val="3"/>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AE67EE" w:rsidP="001312B9">
            <w:r>
              <w:rPr>
                <w:sz w:val="18"/>
                <w:szCs w:val="18"/>
              </w:rPr>
              <w:t>Elective</w:t>
            </w:r>
          </w:p>
        </w:tc>
      </w:tr>
      <w:tr w:rsidR="009E2BF4" w:rsidTr="009E2BF4">
        <w:trPr>
          <w:trHeight w:val="227"/>
        </w:trPr>
        <w:tc>
          <w:tcPr>
            <w:tcW w:w="9622" w:type="dxa"/>
            <w:gridSpan w:val="12"/>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65462A">
        <w:trPr>
          <w:trHeight w:val="227"/>
        </w:trPr>
        <w:tc>
          <w:tcPr>
            <w:tcW w:w="1951"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65462A">
              <w:rPr>
                <w:rFonts w:ascii="Arial" w:hAnsi="Arial" w:cs="Arial"/>
                <w:sz w:val="16"/>
                <w:szCs w:val="16"/>
              </w:rPr>
              <w:t>2x15=30</w:t>
            </w:r>
          </w:p>
        </w:tc>
        <w:tc>
          <w:tcPr>
            <w:tcW w:w="2126" w:type="dxa"/>
            <w:gridSpan w:val="4"/>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65462A">
              <w:rPr>
                <w:rFonts w:ascii="Arial" w:hAnsi="Arial" w:cs="Arial"/>
                <w:sz w:val="16"/>
                <w:szCs w:val="16"/>
              </w:rPr>
              <w:t>2x15=30</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65462A">
        <w:tc>
          <w:tcPr>
            <w:tcW w:w="1951"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671" w:type="dxa"/>
            <w:gridSpan w:val="10"/>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w:t>
            </w:r>
          </w:p>
        </w:tc>
      </w:tr>
      <w:tr w:rsidR="005E42D1" w:rsidTr="00A33A4A">
        <w:tc>
          <w:tcPr>
            <w:tcW w:w="9622" w:type="dxa"/>
            <w:gridSpan w:val="12"/>
          </w:tcPr>
          <w:p w:rsidR="005E42D1" w:rsidRPr="000365A3" w:rsidRDefault="005E42D1" w:rsidP="005E42D1">
            <w:pPr>
              <w:pStyle w:val="ListParagraph"/>
              <w:numPr>
                <w:ilvl w:val="0"/>
                <w:numId w:val="3"/>
              </w:numPr>
              <w:ind w:left="284" w:hanging="284"/>
              <w:rPr>
                <w:rFonts w:ascii="Arial" w:hAnsi="Arial" w:cs="Arial"/>
                <w:b/>
                <w:sz w:val="16"/>
                <w:szCs w:val="16"/>
              </w:rPr>
            </w:pPr>
            <w:r w:rsidRPr="000365A3">
              <w:rPr>
                <w:rFonts w:ascii="Arial" w:hAnsi="Arial" w:cs="Arial"/>
                <w:b/>
                <w:sz w:val="16"/>
                <w:szCs w:val="16"/>
              </w:rPr>
              <w:t>Educational goal</w:t>
            </w:r>
          </w:p>
          <w:p w:rsidR="00833D83" w:rsidRPr="00833D83" w:rsidRDefault="00833D83" w:rsidP="00833D83">
            <w:pPr>
              <w:rPr>
                <w:sz w:val="18"/>
                <w:szCs w:val="18"/>
              </w:rPr>
            </w:pPr>
            <w:r w:rsidRPr="00833D83">
              <w:rPr>
                <w:sz w:val="18"/>
                <w:szCs w:val="18"/>
              </w:rPr>
              <w:t xml:space="preserve">Education and training students for </w:t>
            </w:r>
            <w:r>
              <w:rPr>
                <w:sz w:val="18"/>
                <w:szCs w:val="18"/>
              </w:rPr>
              <w:t>direct</w:t>
            </w:r>
            <w:r w:rsidRPr="00833D83">
              <w:rPr>
                <w:sz w:val="18"/>
                <w:szCs w:val="18"/>
              </w:rPr>
              <w:t xml:space="preserve"> work in hunting.</w:t>
            </w:r>
          </w:p>
          <w:p w:rsidR="00833D83" w:rsidRPr="00833D83" w:rsidRDefault="00833D83" w:rsidP="00833D83">
            <w:pPr>
              <w:rPr>
                <w:sz w:val="18"/>
                <w:szCs w:val="18"/>
              </w:rPr>
            </w:pPr>
            <w:r w:rsidRPr="00833D83">
              <w:rPr>
                <w:sz w:val="18"/>
                <w:szCs w:val="18"/>
              </w:rPr>
              <w:t>After graduation, the student is able to develop and apply their knowledge of the field of hunting and hunting</w:t>
            </w:r>
          </w:p>
          <w:p w:rsidR="005E42D1" w:rsidRDefault="00833D83" w:rsidP="00833D83">
            <w:pPr>
              <w:rPr>
                <w:sz w:val="18"/>
                <w:szCs w:val="18"/>
              </w:rPr>
            </w:pPr>
            <w:r>
              <w:rPr>
                <w:sz w:val="18"/>
                <w:szCs w:val="18"/>
              </w:rPr>
              <w:t>management</w:t>
            </w:r>
          </w:p>
          <w:p w:rsidR="005E42D1" w:rsidRDefault="005E42D1" w:rsidP="009E2BF4"/>
        </w:tc>
      </w:tr>
      <w:tr w:rsidR="005E42D1" w:rsidTr="001C02FB">
        <w:tc>
          <w:tcPr>
            <w:tcW w:w="9622" w:type="dxa"/>
            <w:gridSpan w:val="12"/>
          </w:tcPr>
          <w:p w:rsidR="005E42D1" w:rsidRPr="000365A3" w:rsidRDefault="005E42D1" w:rsidP="005E42D1">
            <w:pPr>
              <w:pStyle w:val="ListParagraph"/>
              <w:numPr>
                <w:ilvl w:val="0"/>
                <w:numId w:val="3"/>
              </w:numPr>
              <w:ind w:left="284" w:hanging="284"/>
              <w:rPr>
                <w:rFonts w:ascii="Arial" w:hAnsi="Arial" w:cs="Arial"/>
                <w:b/>
                <w:sz w:val="16"/>
                <w:szCs w:val="16"/>
              </w:rPr>
            </w:pPr>
            <w:r w:rsidRPr="000365A3">
              <w:rPr>
                <w:rFonts w:ascii="Arial" w:hAnsi="Arial" w:cs="Arial"/>
                <w:b/>
                <w:sz w:val="16"/>
                <w:szCs w:val="16"/>
              </w:rPr>
              <w:t>Educational outcomes</w:t>
            </w:r>
          </w:p>
          <w:p w:rsidR="00CB024C" w:rsidRPr="00CB024C" w:rsidRDefault="00CB024C" w:rsidP="00CB024C">
            <w:pPr>
              <w:rPr>
                <w:sz w:val="18"/>
                <w:szCs w:val="18"/>
              </w:rPr>
            </w:pPr>
            <w:r w:rsidRPr="00CB024C">
              <w:rPr>
                <w:sz w:val="18"/>
                <w:szCs w:val="18"/>
              </w:rPr>
              <w:t>The formation of professionals with academic qualifications who has significantly broadened and deepened</w:t>
            </w:r>
          </w:p>
          <w:p w:rsidR="00CB024C" w:rsidRPr="00CB024C" w:rsidRDefault="00CB024C" w:rsidP="00CB024C">
            <w:pPr>
              <w:rPr>
                <w:sz w:val="18"/>
                <w:szCs w:val="18"/>
              </w:rPr>
            </w:pPr>
            <w:r w:rsidRPr="00CB024C">
              <w:rPr>
                <w:sz w:val="18"/>
                <w:szCs w:val="18"/>
              </w:rPr>
              <w:t>knowledge necessary for understanding the scientific basis of hunting and hunting economy. Acquired knowledge of the student</w:t>
            </w:r>
          </w:p>
          <w:p w:rsidR="005E42D1" w:rsidRDefault="00CB024C" w:rsidP="00CB024C">
            <w:pPr>
              <w:rPr>
                <w:sz w:val="18"/>
                <w:szCs w:val="18"/>
              </w:rPr>
            </w:pPr>
            <w:r w:rsidRPr="00CB024C">
              <w:rPr>
                <w:sz w:val="18"/>
                <w:szCs w:val="18"/>
              </w:rPr>
              <w:t>completed undergraduate studies provides expertise to work in hunting and hunting economy.</w:t>
            </w:r>
          </w:p>
          <w:p w:rsidR="005E42D1" w:rsidRDefault="005E42D1" w:rsidP="009E2BF4"/>
        </w:tc>
      </w:tr>
      <w:tr w:rsidR="005E42D1" w:rsidTr="00A615B9">
        <w:tc>
          <w:tcPr>
            <w:tcW w:w="9622" w:type="dxa"/>
            <w:gridSpan w:val="12"/>
          </w:tcPr>
          <w:p w:rsidR="00CB024C" w:rsidRPr="00CB024C" w:rsidRDefault="00CB024C" w:rsidP="000365A3">
            <w:pPr>
              <w:pStyle w:val="ListParagraph"/>
              <w:ind w:left="284"/>
              <w:rPr>
                <w:rFonts w:ascii="Arial" w:hAnsi="Arial" w:cs="Arial"/>
                <w:sz w:val="16"/>
                <w:szCs w:val="16"/>
              </w:rPr>
            </w:pPr>
            <w:r w:rsidRPr="00CB024C">
              <w:rPr>
                <w:rFonts w:ascii="Arial" w:hAnsi="Arial" w:cs="Arial"/>
                <w:sz w:val="16"/>
                <w:szCs w:val="16"/>
              </w:rPr>
              <w:t>Basic features for the game. Nutrients for feeding wildlife. Feeding wild ruminants:</w:t>
            </w:r>
            <w:r>
              <w:rPr>
                <w:rFonts w:ascii="Arial" w:hAnsi="Arial" w:cs="Arial"/>
                <w:sz w:val="16"/>
                <w:szCs w:val="16"/>
              </w:rPr>
              <w:t xml:space="preserve"> </w:t>
            </w:r>
            <w:r w:rsidRPr="00CB024C">
              <w:rPr>
                <w:rFonts w:ascii="Arial" w:hAnsi="Arial" w:cs="Arial"/>
                <w:sz w:val="16"/>
                <w:szCs w:val="16"/>
              </w:rPr>
              <w:t xml:space="preserve">deer, fallow deer, roe deer, </w:t>
            </w:r>
            <w:proofErr w:type="spellStart"/>
            <w:r w:rsidRPr="00CB024C">
              <w:rPr>
                <w:rFonts w:ascii="Arial" w:hAnsi="Arial" w:cs="Arial"/>
                <w:sz w:val="16"/>
                <w:szCs w:val="16"/>
              </w:rPr>
              <w:t>mouflon</w:t>
            </w:r>
            <w:proofErr w:type="spellEnd"/>
            <w:r w:rsidRPr="00CB024C">
              <w:rPr>
                <w:rFonts w:ascii="Arial" w:hAnsi="Arial" w:cs="Arial"/>
                <w:sz w:val="16"/>
                <w:szCs w:val="16"/>
              </w:rPr>
              <w:t>, chamois. Feeding wild non-ruminants: wild pigs, rabbits, pheasants, partridges, wild ducks and quail. Winter feeding of wildlife. Cultivation and Protection wildlife as part of an integrated management plan. The plans and programs for development and protection of wild animals in the hunting area. Management plan and annual management plan. Hunting Ground, quality and quality evaluation hunting grounds. establishment the number and structure of the game. Payment game breeding. The basics of growing small game and breeding rate. The basics of growing big game and breeding rate. Customizing game produced in farms settling in the hunting area. Hunting breeding and technical facilities.</w:t>
            </w:r>
          </w:p>
          <w:p w:rsidR="00CB024C" w:rsidRPr="00CB024C" w:rsidRDefault="00CB024C" w:rsidP="000365A3">
            <w:pPr>
              <w:pStyle w:val="ListParagraph"/>
              <w:ind w:left="284"/>
              <w:rPr>
                <w:rFonts w:ascii="Arial" w:hAnsi="Arial" w:cs="Arial"/>
                <w:sz w:val="16"/>
                <w:szCs w:val="16"/>
              </w:rPr>
            </w:pPr>
            <w:r w:rsidRPr="00CB024C">
              <w:rPr>
                <w:rFonts w:ascii="Arial" w:hAnsi="Arial" w:cs="Arial"/>
                <w:sz w:val="16"/>
                <w:szCs w:val="16"/>
              </w:rPr>
              <w:t>Practical classes:</w:t>
            </w:r>
          </w:p>
          <w:p w:rsidR="005E42D1" w:rsidRPr="00CB024C" w:rsidRDefault="00CB024C" w:rsidP="000365A3">
            <w:pPr>
              <w:pStyle w:val="ListParagraph"/>
              <w:ind w:left="284"/>
              <w:rPr>
                <w:rFonts w:ascii="Arial" w:hAnsi="Arial" w:cs="Arial"/>
                <w:sz w:val="16"/>
                <w:szCs w:val="16"/>
              </w:rPr>
            </w:pPr>
            <w:r w:rsidRPr="00CB024C">
              <w:rPr>
                <w:rFonts w:ascii="Arial" w:hAnsi="Arial" w:cs="Arial"/>
                <w:sz w:val="16"/>
                <w:szCs w:val="16"/>
              </w:rPr>
              <w:t xml:space="preserve">Nutrients. Nutrients. Needs in nutrients and foods for particular types of wildlife. Production and preparing food for winter feeding of wildlife. Methods for the preparation of meals and the mixture for feeding wildlife: Pearson squared equation method, the combined method, preparing meals and mixtures with a minimum </w:t>
            </w:r>
            <w:proofErr w:type="spellStart"/>
            <w:r w:rsidRPr="00CB024C">
              <w:rPr>
                <w:rFonts w:ascii="Arial" w:hAnsi="Arial" w:cs="Arial"/>
                <w:sz w:val="16"/>
                <w:szCs w:val="16"/>
              </w:rPr>
              <w:t>costings</w:t>
            </w:r>
            <w:proofErr w:type="spellEnd"/>
            <w:r w:rsidRPr="00CB024C">
              <w:rPr>
                <w:rFonts w:ascii="Arial" w:hAnsi="Arial" w:cs="Arial"/>
                <w:sz w:val="16"/>
                <w:szCs w:val="16"/>
              </w:rPr>
              <w:t>. Development and implementation of plans and programs for development and protection</w:t>
            </w:r>
            <w:r>
              <w:rPr>
                <w:rFonts w:ascii="Arial" w:hAnsi="Arial" w:cs="Arial"/>
                <w:sz w:val="16"/>
                <w:szCs w:val="16"/>
              </w:rPr>
              <w:t xml:space="preserve"> </w:t>
            </w:r>
            <w:r w:rsidRPr="00CB024C">
              <w:rPr>
                <w:rFonts w:ascii="Arial" w:hAnsi="Arial" w:cs="Arial"/>
                <w:sz w:val="16"/>
                <w:szCs w:val="16"/>
              </w:rPr>
              <w:t xml:space="preserve">the hunting ground. planning and organization of game management. Management plan and annual management plan. Hunting Ground, solvency and </w:t>
            </w:r>
            <w:proofErr w:type="spellStart"/>
            <w:r w:rsidRPr="00CB024C">
              <w:rPr>
                <w:rFonts w:ascii="Arial" w:hAnsi="Arial" w:cs="Arial"/>
                <w:sz w:val="16"/>
                <w:szCs w:val="16"/>
              </w:rPr>
              <w:t>bonitiranje</w:t>
            </w:r>
            <w:proofErr w:type="spellEnd"/>
            <w:r w:rsidRPr="00CB024C">
              <w:rPr>
                <w:rFonts w:ascii="Arial" w:hAnsi="Arial" w:cs="Arial"/>
                <w:sz w:val="16"/>
                <w:szCs w:val="16"/>
              </w:rPr>
              <w:t xml:space="preserve"> hunting grounds. Determine the number and structure of the game. Payment game breeding. Catch breeding facilities. Hunting and technical </w:t>
            </w:r>
            <w:proofErr w:type="spellStart"/>
            <w:r w:rsidRPr="00CB024C">
              <w:rPr>
                <w:rFonts w:ascii="Arial" w:hAnsi="Arial" w:cs="Arial"/>
                <w:sz w:val="16"/>
                <w:szCs w:val="16"/>
              </w:rPr>
              <w:t>facilities.</w:t>
            </w:r>
            <w:r w:rsidR="005E42D1" w:rsidRPr="00CB024C">
              <w:rPr>
                <w:rFonts w:ascii="Arial" w:hAnsi="Arial" w:cs="Arial"/>
                <w:sz w:val="16"/>
                <w:szCs w:val="16"/>
              </w:rPr>
              <w:t>t</w:t>
            </w:r>
            <w:proofErr w:type="spellEnd"/>
          </w:p>
          <w:p w:rsidR="005E42D1" w:rsidRDefault="005E42D1" w:rsidP="009E2BF4">
            <w:pPr>
              <w:rPr>
                <w:sz w:val="18"/>
                <w:szCs w:val="18"/>
              </w:rPr>
            </w:pPr>
          </w:p>
          <w:p w:rsidR="005E42D1" w:rsidRDefault="005E42D1" w:rsidP="009E2BF4"/>
        </w:tc>
      </w:tr>
      <w:tr w:rsidR="005E42D1" w:rsidTr="005E42D1">
        <w:tc>
          <w:tcPr>
            <w:tcW w:w="9622" w:type="dxa"/>
            <w:gridSpan w:val="12"/>
            <w:tcBorders>
              <w:bottom w:val="single" w:sz="4" w:space="0" w:color="auto"/>
            </w:tcBorders>
          </w:tcPr>
          <w:p w:rsidR="005E42D1" w:rsidRPr="000365A3" w:rsidRDefault="005E42D1" w:rsidP="005E42D1">
            <w:pPr>
              <w:pStyle w:val="ListParagraph"/>
              <w:numPr>
                <w:ilvl w:val="0"/>
                <w:numId w:val="3"/>
              </w:numPr>
              <w:ind w:left="284" w:hanging="284"/>
              <w:rPr>
                <w:rFonts w:ascii="Arial" w:hAnsi="Arial" w:cs="Arial"/>
                <w:b/>
                <w:sz w:val="16"/>
                <w:szCs w:val="16"/>
              </w:rPr>
            </w:pPr>
            <w:r w:rsidRPr="000365A3">
              <w:rPr>
                <w:rFonts w:ascii="Arial" w:hAnsi="Arial" w:cs="Arial"/>
                <w:b/>
                <w:sz w:val="16"/>
                <w:szCs w:val="16"/>
              </w:rPr>
              <w:t>Teaching methods</w:t>
            </w:r>
          </w:p>
          <w:p w:rsidR="005E42D1" w:rsidRPr="005E42D1" w:rsidRDefault="005E42D1" w:rsidP="009E2BF4">
            <w:pPr>
              <w:rPr>
                <w:rFonts w:ascii="Arial" w:hAnsi="Arial" w:cs="Arial"/>
                <w:sz w:val="16"/>
                <w:szCs w:val="16"/>
              </w:rPr>
            </w:pPr>
          </w:p>
          <w:p w:rsidR="005E42D1" w:rsidRPr="00AE67EE" w:rsidRDefault="005E42D1" w:rsidP="00CB024C">
            <w:pPr>
              <w:rPr>
                <w:sz w:val="18"/>
                <w:szCs w:val="18"/>
              </w:rPr>
            </w:pPr>
            <w:r w:rsidRPr="005E42D1">
              <w:rPr>
                <w:rFonts w:ascii="Arial" w:hAnsi="Arial" w:cs="Arial"/>
                <w:sz w:val="16"/>
                <w:szCs w:val="16"/>
              </w:rPr>
              <w:t>Lectures, Practical classes</w:t>
            </w:r>
          </w:p>
        </w:tc>
      </w:tr>
      <w:tr w:rsidR="005E42D1" w:rsidTr="005E42D1">
        <w:tc>
          <w:tcPr>
            <w:tcW w:w="9622" w:type="dxa"/>
            <w:gridSpan w:val="12"/>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4"/>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4"/>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D02E1F">
            <w:pPr>
              <w:jc w:val="center"/>
            </w:pPr>
            <w:r w:rsidRPr="00DD00BD">
              <w:rPr>
                <w:rFonts w:ascii="Arial" w:hAnsi="Arial" w:cs="Arial"/>
                <w:sz w:val="16"/>
                <w:szCs w:val="16"/>
              </w:rPr>
              <w:t>Ye</w:t>
            </w:r>
            <w:r w:rsidR="00CB024C">
              <w:rPr>
                <w:rFonts w:ascii="Arial" w:hAnsi="Arial" w:cs="Arial"/>
                <w:sz w:val="16"/>
                <w:szCs w:val="16"/>
              </w:rPr>
              <w:t>s</w:t>
            </w:r>
          </w:p>
        </w:tc>
        <w:tc>
          <w:tcPr>
            <w:tcW w:w="1301" w:type="dxa"/>
            <w:gridSpan w:val="2"/>
            <w:shd w:val="clear" w:color="auto" w:fill="auto"/>
            <w:vAlign w:val="center"/>
          </w:tcPr>
          <w:p w:rsidR="005E42D1" w:rsidRPr="005E42D1" w:rsidRDefault="00CB024C" w:rsidP="005E42D1">
            <w:pPr>
              <w:jc w:val="center"/>
              <w:rPr>
                <w:rFonts w:ascii="Arial" w:hAnsi="Arial" w:cs="Arial"/>
                <w:sz w:val="16"/>
                <w:szCs w:val="16"/>
              </w:rPr>
            </w:pPr>
            <w:r>
              <w:rPr>
                <w:rFonts w:ascii="Arial" w:hAnsi="Arial" w:cs="Arial"/>
                <w:sz w:val="16"/>
                <w:szCs w:val="16"/>
              </w:rPr>
              <w:t>10</w:t>
            </w:r>
          </w:p>
        </w:tc>
        <w:tc>
          <w:tcPr>
            <w:tcW w:w="2527" w:type="dxa"/>
            <w:gridSpan w:val="2"/>
            <w:shd w:val="clear" w:color="auto" w:fill="auto"/>
            <w:vAlign w:val="center"/>
          </w:tcPr>
          <w:p w:rsidR="005E42D1" w:rsidRPr="00D02E1F" w:rsidRDefault="00D02E1F" w:rsidP="005E42D1">
            <w:pPr>
              <w:jc w:val="center"/>
              <w:rPr>
                <w:rFonts w:ascii="Arial" w:hAnsi="Arial" w:cs="Arial"/>
                <w:i/>
                <w:sz w:val="14"/>
                <w:szCs w:val="14"/>
              </w:rPr>
            </w:pPr>
            <w:r w:rsidRPr="00D02E1F">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CB024C" w:rsidP="005E42D1">
            <w:pPr>
              <w:jc w:val="center"/>
              <w:rPr>
                <w:rFonts w:ascii="Arial" w:hAnsi="Arial" w:cs="Arial"/>
                <w:sz w:val="16"/>
                <w:szCs w:val="16"/>
              </w:rPr>
            </w:pPr>
            <w:r>
              <w:rPr>
                <w:rFonts w:ascii="Arial" w:hAnsi="Arial" w:cs="Arial"/>
                <w:sz w:val="16"/>
                <w:szCs w:val="16"/>
              </w:rPr>
              <w:t>45</w:t>
            </w:r>
          </w:p>
        </w:tc>
      </w:tr>
      <w:tr w:rsidR="00D02E1F" w:rsidTr="00C51278">
        <w:tc>
          <w:tcPr>
            <w:tcW w:w="2376" w:type="dxa"/>
            <w:gridSpan w:val="4"/>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CB024C" w:rsidP="005E42D1">
            <w:pPr>
              <w:jc w:val="center"/>
              <w:rPr>
                <w:rFonts w:ascii="Arial" w:hAnsi="Arial" w:cs="Arial"/>
                <w:sz w:val="16"/>
                <w:szCs w:val="16"/>
              </w:rPr>
            </w:pPr>
            <w:r>
              <w:rPr>
                <w:rFonts w:ascii="Arial" w:hAnsi="Arial" w:cs="Arial"/>
                <w:sz w:val="16"/>
                <w:szCs w:val="16"/>
              </w:rPr>
              <w:t>45</w:t>
            </w: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4"/>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4"/>
            <w:tcBorders>
              <w:bottom w:val="single" w:sz="4" w:space="0" w:color="auto"/>
            </w:tcBorders>
            <w:shd w:val="clear" w:color="auto" w:fill="auto"/>
            <w:vAlign w:val="center"/>
          </w:tcPr>
          <w:p w:rsidR="00D02E1F" w:rsidRPr="005E42D1" w:rsidRDefault="00D02E1F" w:rsidP="00D02E1F">
            <w:pPr>
              <w:rPr>
                <w:rFonts w:ascii="Arial" w:hAnsi="Arial" w:cs="Arial"/>
                <w:sz w:val="16"/>
                <w:szCs w:val="16"/>
              </w:rPr>
            </w:pPr>
          </w:p>
        </w:tc>
        <w:tc>
          <w:tcPr>
            <w:tcW w:w="1134" w:type="dxa"/>
            <w:tcBorders>
              <w:bottom w:val="single" w:sz="4" w:space="0" w:color="auto"/>
            </w:tcBorders>
            <w:shd w:val="clear" w:color="auto" w:fill="auto"/>
            <w:vAlign w:val="center"/>
          </w:tcPr>
          <w:p w:rsidR="00D02E1F" w:rsidRDefault="00D02E1F" w:rsidP="00D02E1F">
            <w:pPr>
              <w:jc w:val="center"/>
            </w:pPr>
          </w:p>
        </w:tc>
        <w:tc>
          <w:tcPr>
            <w:tcW w:w="1301" w:type="dxa"/>
            <w:gridSpan w:val="2"/>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2"/>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D02E1F">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3"/>
            <w:vAlign w:val="center"/>
          </w:tcPr>
          <w:p w:rsidR="005E42D1" w:rsidRPr="00D02E1F" w:rsidRDefault="0065462A" w:rsidP="00D02E1F">
            <w:pPr>
              <w:jc w:val="center"/>
              <w:rPr>
                <w:rFonts w:ascii="Arial" w:hAnsi="Arial" w:cs="Arial"/>
                <w:sz w:val="16"/>
                <w:szCs w:val="16"/>
              </w:rPr>
            </w:pPr>
            <w:r w:rsidRPr="0065462A">
              <w:rPr>
                <w:rFonts w:ascii="Arial" w:hAnsi="Arial" w:cs="Arial"/>
                <w:sz w:val="16"/>
                <w:szCs w:val="16"/>
              </w:rPr>
              <w:t xml:space="preserve">John A. </w:t>
            </w:r>
            <w:proofErr w:type="spellStart"/>
            <w:r w:rsidRPr="0065462A">
              <w:rPr>
                <w:rFonts w:ascii="Arial" w:hAnsi="Arial" w:cs="Arial"/>
                <w:sz w:val="16"/>
                <w:szCs w:val="16"/>
              </w:rPr>
              <w:t>Bissonette</w:t>
            </w:r>
            <w:proofErr w:type="spellEnd"/>
          </w:p>
        </w:tc>
        <w:tc>
          <w:tcPr>
            <w:tcW w:w="2435" w:type="dxa"/>
            <w:gridSpan w:val="3"/>
            <w:vAlign w:val="center"/>
          </w:tcPr>
          <w:p w:rsidR="005E42D1" w:rsidRPr="00D02E1F" w:rsidRDefault="0065462A" w:rsidP="00D02E1F">
            <w:pPr>
              <w:jc w:val="center"/>
              <w:rPr>
                <w:rFonts w:ascii="Arial" w:hAnsi="Arial" w:cs="Arial"/>
                <w:sz w:val="16"/>
                <w:szCs w:val="16"/>
              </w:rPr>
            </w:pPr>
            <w:r w:rsidRPr="0065462A">
              <w:rPr>
                <w:rFonts w:ascii="Arial" w:hAnsi="Arial" w:cs="Arial"/>
                <w:sz w:val="16"/>
                <w:szCs w:val="16"/>
              </w:rPr>
              <w:t>Wildlife and Landscape Ecology: Effects of Pattern and Scale</w:t>
            </w:r>
          </w:p>
        </w:tc>
        <w:tc>
          <w:tcPr>
            <w:tcW w:w="3661" w:type="dxa"/>
            <w:gridSpan w:val="4"/>
            <w:vAlign w:val="center"/>
          </w:tcPr>
          <w:p w:rsidR="005E42D1" w:rsidRPr="00D02E1F" w:rsidRDefault="0065462A" w:rsidP="0065462A">
            <w:pPr>
              <w:jc w:val="center"/>
              <w:rPr>
                <w:rFonts w:ascii="Arial" w:hAnsi="Arial" w:cs="Arial"/>
                <w:sz w:val="16"/>
                <w:szCs w:val="16"/>
              </w:rPr>
            </w:pPr>
            <w:r w:rsidRPr="0065462A">
              <w:rPr>
                <w:rFonts w:ascii="Arial" w:hAnsi="Arial" w:cs="Arial"/>
                <w:sz w:val="16"/>
                <w:szCs w:val="16"/>
              </w:rPr>
              <w:t>Springer Science &amp; Business Media,</w:t>
            </w:r>
          </w:p>
        </w:tc>
        <w:tc>
          <w:tcPr>
            <w:tcW w:w="1150" w:type="dxa"/>
            <w:vAlign w:val="center"/>
          </w:tcPr>
          <w:p w:rsidR="005E42D1" w:rsidRPr="00D02E1F" w:rsidRDefault="0065462A" w:rsidP="00D02E1F">
            <w:pPr>
              <w:jc w:val="center"/>
              <w:rPr>
                <w:rFonts w:ascii="Arial" w:hAnsi="Arial" w:cs="Arial"/>
                <w:sz w:val="16"/>
                <w:szCs w:val="16"/>
              </w:rPr>
            </w:pPr>
            <w:r>
              <w:rPr>
                <w:rFonts w:ascii="Arial" w:hAnsi="Arial" w:cs="Arial"/>
                <w:sz w:val="16"/>
                <w:szCs w:val="16"/>
              </w:rPr>
              <w:t>1997</w:t>
            </w:r>
          </w:p>
        </w:tc>
      </w:tr>
      <w:tr w:rsidR="00D02E1F" w:rsidTr="00D02E1F">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701" w:type="dxa"/>
            <w:gridSpan w:val="3"/>
            <w:vAlign w:val="center"/>
          </w:tcPr>
          <w:p w:rsidR="00D02E1F" w:rsidRPr="00D02E1F" w:rsidRDefault="0065462A" w:rsidP="00D02E1F">
            <w:pPr>
              <w:jc w:val="center"/>
              <w:rPr>
                <w:rFonts w:ascii="Arial" w:hAnsi="Arial" w:cs="Arial"/>
                <w:sz w:val="16"/>
                <w:szCs w:val="16"/>
              </w:rPr>
            </w:pPr>
            <w:r w:rsidRPr="0065462A">
              <w:rPr>
                <w:rFonts w:ascii="Arial" w:hAnsi="Arial" w:cs="Arial"/>
                <w:sz w:val="16"/>
                <w:szCs w:val="16"/>
              </w:rPr>
              <w:t xml:space="preserve">Rory Putman, Marco </w:t>
            </w:r>
            <w:proofErr w:type="spellStart"/>
            <w:r w:rsidRPr="0065462A">
              <w:rPr>
                <w:rFonts w:ascii="Arial" w:hAnsi="Arial" w:cs="Arial"/>
                <w:sz w:val="16"/>
                <w:szCs w:val="16"/>
              </w:rPr>
              <w:t>Apollonio</w:t>
            </w:r>
            <w:proofErr w:type="spellEnd"/>
            <w:r w:rsidRPr="0065462A">
              <w:rPr>
                <w:rFonts w:ascii="Arial" w:hAnsi="Arial" w:cs="Arial"/>
                <w:sz w:val="16"/>
                <w:szCs w:val="16"/>
              </w:rPr>
              <w:t xml:space="preserve">, </w:t>
            </w:r>
            <w:proofErr w:type="spellStart"/>
            <w:r w:rsidRPr="0065462A">
              <w:rPr>
                <w:rFonts w:ascii="Arial" w:hAnsi="Arial" w:cs="Arial"/>
                <w:sz w:val="16"/>
                <w:szCs w:val="16"/>
              </w:rPr>
              <w:t>Reidar</w:t>
            </w:r>
            <w:proofErr w:type="spellEnd"/>
            <w:r w:rsidRPr="0065462A">
              <w:rPr>
                <w:rFonts w:ascii="Arial" w:hAnsi="Arial" w:cs="Arial"/>
                <w:sz w:val="16"/>
                <w:szCs w:val="16"/>
              </w:rPr>
              <w:t xml:space="preserve"> Andersen</w:t>
            </w:r>
          </w:p>
        </w:tc>
        <w:tc>
          <w:tcPr>
            <w:tcW w:w="2435" w:type="dxa"/>
            <w:gridSpan w:val="3"/>
            <w:vAlign w:val="center"/>
          </w:tcPr>
          <w:p w:rsidR="00D02E1F" w:rsidRPr="00D02E1F" w:rsidRDefault="0065462A" w:rsidP="00D02E1F">
            <w:pPr>
              <w:jc w:val="center"/>
              <w:rPr>
                <w:rFonts w:ascii="Arial" w:hAnsi="Arial" w:cs="Arial"/>
                <w:sz w:val="16"/>
                <w:szCs w:val="16"/>
              </w:rPr>
            </w:pPr>
            <w:r w:rsidRPr="0065462A">
              <w:rPr>
                <w:rFonts w:ascii="Arial" w:hAnsi="Arial" w:cs="Arial"/>
                <w:sz w:val="16"/>
                <w:szCs w:val="16"/>
              </w:rPr>
              <w:t>European Ungulates and Their Management in the 21st Century</w:t>
            </w:r>
          </w:p>
        </w:tc>
        <w:tc>
          <w:tcPr>
            <w:tcW w:w="3661" w:type="dxa"/>
            <w:gridSpan w:val="4"/>
            <w:vAlign w:val="center"/>
          </w:tcPr>
          <w:p w:rsidR="00D02E1F" w:rsidRPr="00D02E1F" w:rsidRDefault="0065462A" w:rsidP="00D02E1F">
            <w:pPr>
              <w:jc w:val="center"/>
              <w:rPr>
                <w:rFonts w:ascii="Arial" w:hAnsi="Arial" w:cs="Arial"/>
                <w:sz w:val="16"/>
                <w:szCs w:val="16"/>
              </w:rPr>
            </w:pPr>
            <w:r w:rsidRPr="0065462A">
              <w:rPr>
                <w:rFonts w:ascii="Arial" w:hAnsi="Arial" w:cs="Arial"/>
                <w:sz w:val="16"/>
                <w:szCs w:val="16"/>
              </w:rPr>
              <w:t>Cambridge University Press</w:t>
            </w:r>
          </w:p>
        </w:tc>
        <w:tc>
          <w:tcPr>
            <w:tcW w:w="1150" w:type="dxa"/>
            <w:vAlign w:val="center"/>
          </w:tcPr>
          <w:p w:rsidR="00D02E1F" w:rsidRPr="00D02E1F" w:rsidRDefault="0065462A" w:rsidP="00D02E1F">
            <w:pPr>
              <w:jc w:val="center"/>
              <w:rPr>
                <w:rFonts w:ascii="Arial" w:hAnsi="Arial" w:cs="Arial"/>
                <w:sz w:val="16"/>
                <w:szCs w:val="16"/>
              </w:rPr>
            </w:pPr>
            <w:r>
              <w:rPr>
                <w:rFonts w:ascii="Arial" w:hAnsi="Arial" w:cs="Arial"/>
                <w:sz w:val="16"/>
                <w:szCs w:val="16"/>
              </w:rPr>
              <w:t>2011</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1312B9" w:rsidP="0065462A">
            <w:pPr>
              <w:jc w:val="center"/>
              <w:rPr>
                <w:rFonts w:ascii="Arial" w:hAnsi="Arial" w:cs="Arial"/>
                <w:sz w:val="18"/>
                <w:szCs w:val="18"/>
              </w:rPr>
            </w:pPr>
            <w:r w:rsidRPr="001312B9">
              <w:rPr>
                <w:rFonts w:ascii="Arial" w:hAnsi="Arial" w:cs="Arial"/>
                <w:sz w:val="18"/>
                <w:szCs w:val="18"/>
              </w:rPr>
              <w:t xml:space="preserve">MASTER ACADEMIC STUDIES                               </w:t>
            </w:r>
            <w:r w:rsidR="0065462A">
              <w:rPr>
                <w:rFonts w:ascii="Arial" w:hAnsi="Arial" w:cs="Arial"/>
                <w:i/>
                <w:sz w:val="16"/>
                <w:szCs w:val="16"/>
              </w:rPr>
              <w:t>Animal science</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rsidP="000365A3"/>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20"/>
  <w:characterSpacingControl w:val="doNotCompress"/>
  <w:compat/>
  <w:rsids>
    <w:rsidRoot w:val="00255EDE"/>
    <w:rsid w:val="000365A3"/>
    <w:rsid w:val="0008374A"/>
    <w:rsid w:val="001312B9"/>
    <w:rsid w:val="001F34D7"/>
    <w:rsid w:val="002319BC"/>
    <w:rsid w:val="00255EDE"/>
    <w:rsid w:val="002611DF"/>
    <w:rsid w:val="00322F84"/>
    <w:rsid w:val="004666C8"/>
    <w:rsid w:val="004C1CC6"/>
    <w:rsid w:val="00535E50"/>
    <w:rsid w:val="005E42D1"/>
    <w:rsid w:val="0065462A"/>
    <w:rsid w:val="00833D83"/>
    <w:rsid w:val="008A155D"/>
    <w:rsid w:val="00927F2D"/>
    <w:rsid w:val="009B28FB"/>
    <w:rsid w:val="009E2BF4"/>
    <w:rsid w:val="00AE67EE"/>
    <w:rsid w:val="00C21CE9"/>
    <w:rsid w:val="00CB024C"/>
    <w:rsid w:val="00CC0E96"/>
    <w:rsid w:val="00CC7AA9"/>
    <w:rsid w:val="00D02E1F"/>
    <w:rsid w:val="00D554D7"/>
    <w:rsid w:val="00D57E7D"/>
    <w:rsid w:val="00DF0ABC"/>
    <w:rsid w:val="00ED0816"/>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divs>
    <w:div w:id="152497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Dejan</cp:lastModifiedBy>
  <cp:revision>2</cp:revision>
  <dcterms:created xsi:type="dcterms:W3CDTF">2015-01-12T23:09:00Z</dcterms:created>
  <dcterms:modified xsi:type="dcterms:W3CDTF">2015-01-12T23:09:00Z</dcterms:modified>
</cp:coreProperties>
</file>