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5"/>
        <w:gridCol w:w="284"/>
        <w:gridCol w:w="1134"/>
        <w:gridCol w:w="566"/>
        <w:gridCol w:w="734"/>
        <w:gridCol w:w="1108"/>
        <w:gridCol w:w="1417"/>
        <w:gridCol w:w="425"/>
        <w:gridCol w:w="709"/>
        <w:gridCol w:w="1155"/>
      </w:tblGrid>
      <w:tr w:rsidR="009E2BF4" w:rsidTr="00C06D2C">
        <w:trPr>
          <w:trHeight w:val="420"/>
        </w:trPr>
        <w:tc>
          <w:tcPr>
            <w:tcW w:w="2090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2" w:type="dxa"/>
            <w:gridSpan w:val="9"/>
            <w:vMerge w:val="restart"/>
            <w:vAlign w:val="center"/>
          </w:tcPr>
          <w:p w:rsidR="009E2BF4" w:rsidRPr="00BB741E" w:rsidRDefault="00E376F4" w:rsidP="00E37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41E">
              <w:rPr>
                <w:rFonts w:ascii="Arial" w:hAnsi="Arial" w:cs="Arial"/>
                <w:sz w:val="24"/>
                <w:szCs w:val="24"/>
              </w:rPr>
              <w:t>Grapevine biology and propagation</w:t>
            </w:r>
          </w:p>
        </w:tc>
      </w:tr>
      <w:tr w:rsidR="009E2BF4" w:rsidTr="00C06D2C">
        <w:tc>
          <w:tcPr>
            <w:tcW w:w="2090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2" w:type="dxa"/>
            <w:gridSpan w:val="9"/>
            <w:vMerge/>
          </w:tcPr>
          <w:p w:rsidR="009E2BF4" w:rsidRDefault="009E2BF4" w:rsidP="001312B9"/>
        </w:tc>
      </w:tr>
      <w:tr w:rsidR="009E2BF4" w:rsidTr="00C06D2C">
        <w:tc>
          <w:tcPr>
            <w:tcW w:w="2090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26AEC">
              <w:rPr>
                <w:rFonts w:ascii="Arial" w:hAnsi="Arial" w:cs="Arial"/>
                <w:sz w:val="16"/>
                <w:szCs w:val="16"/>
              </w:rPr>
              <w:t xml:space="preserve">  6</w:t>
            </w:r>
          </w:p>
        </w:tc>
        <w:tc>
          <w:tcPr>
            <w:tcW w:w="7532" w:type="dxa"/>
            <w:gridSpan w:val="9"/>
            <w:vMerge/>
          </w:tcPr>
          <w:p w:rsidR="009E2BF4" w:rsidRDefault="009E2BF4" w:rsidP="001312B9"/>
        </w:tc>
      </w:tr>
      <w:tr w:rsidR="002611DF" w:rsidTr="00C06D2C">
        <w:tc>
          <w:tcPr>
            <w:tcW w:w="2090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2" w:type="dxa"/>
            <w:gridSpan w:val="9"/>
          </w:tcPr>
          <w:p w:rsidR="002611DF" w:rsidRDefault="00E376F4" w:rsidP="001312B9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Ivan D. </w:t>
            </w:r>
            <w:proofErr w:type="spellStart"/>
            <w:r>
              <w:t>Kuljančić</w:t>
            </w:r>
            <w:proofErr w:type="spellEnd"/>
          </w:p>
        </w:tc>
      </w:tr>
      <w:tr w:rsidR="00DF0ABC" w:rsidTr="00C06D2C"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2" w:type="dxa"/>
            <w:gridSpan w:val="9"/>
            <w:tcBorders>
              <w:bottom w:val="single" w:sz="4" w:space="0" w:color="auto"/>
            </w:tcBorders>
          </w:tcPr>
          <w:p w:rsidR="00DF0ABC" w:rsidRDefault="00AE67EE" w:rsidP="00E376F4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06D2C">
        <w:trPr>
          <w:trHeight w:val="227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376F4">
              <w:rPr>
                <w:rFonts w:ascii="Arial" w:hAnsi="Arial" w:cs="Arial"/>
                <w:sz w:val="16"/>
                <w:szCs w:val="16"/>
              </w:rPr>
              <w:t xml:space="preserve"> 75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376F4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06D2C">
        <w:tc>
          <w:tcPr>
            <w:tcW w:w="2090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2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EF623C" w:rsidP="00EF6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Botany, Plant physiology, Biochemistry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837954" w:rsidRDefault="005E42D1" w:rsidP="0083795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379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42D1" w:rsidRPr="00920F6C" w:rsidRDefault="00837954" w:rsidP="00920F6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gramStart"/>
            <w:r w:rsidRPr="00837954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837954">
              <w:rPr>
                <w:rFonts w:cstheme="minorHAnsi"/>
                <w:sz w:val="20"/>
                <w:szCs w:val="20"/>
              </w:rPr>
              <w:t xml:space="preserve"> education and training of undergraduate students in the field of viticulture.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920F6C" w:rsidRPr="00920F6C">
              <w:rPr>
                <w:sz w:val="20"/>
                <w:szCs w:val="20"/>
              </w:rPr>
              <w:t>Student must</w:t>
            </w:r>
            <w:r w:rsidR="00920F6C">
              <w:t xml:space="preserve"> </w:t>
            </w:r>
            <w:r w:rsidRPr="00837954">
              <w:rPr>
                <w:sz w:val="20"/>
                <w:szCs w:val="20"/>
              </w:rPr>
              <w:t xml:space="preserve">acquire </w:t>
            </w:r>
            <w:r w:rsidR="00920F6C">
              <w:rPr>
                <w:sz w:val="20"/>
                <w:szCs w:val="20"/>
              </w:rPr>
              <w:t xml:space="preserve">basic </w:t>
            </w:r>
            <w:r w:rsidRPr="00837954">
              <w:rPr>
                <w:sz w:val="20"/>
                <w:szCs w:val="20"/>
              </w:rPr>
              <w:t>knowledge</w:t>
            </w:r>
            <w:r w:rsidR="00920F6C">
              <w:rPr>
                <w:sz w:val="20"/>
                <w:szCs w:val="20"/>
              </w:rPr>
              <w:t xml:space="preserve"> about grapevine and wine history, botany, morphology, physiology, ecology and propagation.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920F6C" w:rsidP="00DA7E50">
            <w:proofErr w:type="gramStart"/>
            <w:r w:rsidRPr="004F62C0">
              <w:rPr>
                <w:bCs/>
                <w:sz w:val="20"/>
                <w:szCs w:val="20"/>
              </w:rPr>
              <w:t>the</w:t>
            </w:r>
            <w:proofErr w:type="gramEnd"/>
            <w:r w:rsidRPr="004F62C0">
              <w:rPr>
                <w:bCs/>
                <w:sz w:val="20"/>
                <w:szCs w:val="20"/>
              </w:rPr>
              <w:t xml:space="preserve"> formation of professionals with academic qualifications, which has an extended knowledge in relation to the knowledge acquired at the </w:t>
            </w:r>
            <w:r>
              <w:rPr>
                <w:bCs/>
                <w:sz w:val="20"/>
                <w:szCs w:val="20"/>
              </w:rPr>
              <w:t>high school. Student must be prepared to upgrade his knowledge, in the field of viticulture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="00DA7E50">
              <w:rPr>
                <w:bCs/>
                <w:sz w:val="20"/>
                <w:szCs w:val="20"/>
              </w:rPr>
              <w:t xml:space="preserve"> </w:t>
            </w:r>
            <w:r w:rsidR="00DA7E50">
              <w:t xml:space="preserve"> </w:t>
            </w:r>
            <w:r w:rsidR="00DA7E50" w:rsidRPr="00DA7E50">
              <w:rPr>
                <w:sz w:val="20"/>
                <w:szCs w:val="20"/>
              </w:rPr>
              <w:t>with</w:t>
            </w:r>
            <w:proofErr w:type="gramEnd"/>
            <w:r w:rsidR="00DA7E50">
              <w:t xml:space="preserve"> </w:t>
            </w:r>
            <w:r w:rsidR="00DA7E50" w:rsidRPr="00DA7E50">
              <w:rPr>
                <w:sz w:val="20"/>
                <w:szCs w:val="20"/>
              </w:rPr>
              <w:t>the ultimate goal</w:t>
            </w:r>
            <w:r w:rsidR="00DA7E50"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A7E50">
              <w:rPr>
                <w:bCs/>
                <w:sz w:val="20"/>
                <w:szCs w:val="20"/>
              </w:rPr>
              <w:t xml:space="preserve">to use it in the field-in practice.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A7E50" w:rsidRDefault="00DA7E50" w:rsidP="00DA7E50">
            <w:pPr>
              <w:rPr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Theoretical lectures</w:t>
            </w:r>
          </w:p>
          <w:p w:rsidR="00DA7E50" w:rsidRDefault="00DA7E50" w:rsidP="00DA7E50">
            <w:pPr>
              <w:rPr>
                <w:iCs/>
                <w:sz w:val="20"/>
                <w:szCs w:val="20"/>
              </w:rPr>
            </w:pPr>
            <w:r w:rsidRPr="00DA7E50">
              <w:rPr>
                <w:iCs/>
                <w:sz w:val="20"/>
                <w:szCs w:val="20"/>
              </w:rPr>
              <w:t>Introduction</w:t>
            </w:r>
            <w:r w:rsidRPr="00744D6C">
              <w:rPr>
                <w:iCs/>
                <w:sz w:val="20"/>
                <w:szCs w:val="20"/>
                <w:lang w:val="sr-Cyrl-CS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Importance of grapevine and its products. History of vines, grapevine and wine. </w:t>
            </w:r>
          </w:p>
          <w:p w:rsidR="007779AB" w:rsidRDefault="00DA7E50" w:rsidP="00DA7E5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Botanical systematics</w:t>
            </w:r>
            <w:r w:rsidRPr="00744D6C">
              <w:rPr>
                <w:iCs/>
                <w:sz w:val="20"/>
                <w:szCs w:val="20"/>
                <w:lang w:val="sr-Cyrl-CS"/>
              </w:rPr>
              <w:t xml:space="preserve">: </w:t>
            </w:r>
            <w:r w:rsidR="007779AB">
              <w:rPr>
                <w:iCs/>
                <w:sz w:val="20"/>
                <w:szCs w:val="20"/>
              </w:rPr>
              <w:t xml:space="preserve">genaral features of Vitaceae family, genera of family Vitaceae, genus Vitis and geographical group in it. </w:t>
            </w:r>
          </w:p>
          <w:p w:rsidR="00DA7E50" w:rsidRPr="00744D6C" w:rsidRDefault="007779AB" w:rsidP="00DA7E50">
            <w:pPr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Grapevine physilogy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 xml:space="preserve">: </w:t>
            </w:r>
            <w:r>
              <w:rPr>
                <w:iCs/>
                <w:sz w:val="20"/>
                <w:szCs w:val="20"/>
              </w:rPr>
              <w:t>Photosytesis, carbon dioxid uptake and assimilation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>,</w:t>
            </w:r>
            <w:r w:rsidR="0088721F">
              <w:rPr>
                <w:iCs/>
                <w:sz w:val="20"/>
                <w:szCs w:val="20"/>
              </w:rPr>
              <w:t xml:space="preserve"> </w:t>
            </w:r>
            <w:r w:rsidR="0069159C">
              <w:rPr>
                <w:iCs/>
                <w:sz w:val="20"/>
                <w:szCs w:val="20"/>
              </w:rPr>
              <w:t>respiration, gas exchange (transpiration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 xml:space="preserve">),  </w:t>
            </w:r>
            <w:r w:rsidR="0069159C">
              <w:rPr>
                <w:iCs/>
                <w:sz w:val="20"/>
                <w:szCs w:val="20"/>
              </w:rPr>
              <w:t>Mineral nutritives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 xml:space="preserve"> – </w:t>
            </w:r>
            <w:r w:rsidR="0069159C">
              <w:rPr>
                <w:iCs/>
                <w:sz w:val="20"/>
                <w:szCs w:val="20"/>
              </w:rPr>
              <w:t>uptake and transport, Organic matter – sinthesis and transport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>.</w:t>
            </w:r>
          </w:p>
          <w:p w:rsidR="0088721F" w:rsidRDefault="0088721F" w:rsidP="00DA7E50">
            <w:pPr>
              <w:rPr>
                <w:iCs/>
                <w:sz w:val="20"/>
                <w:szCs w:val="20"/>
              </w:rPr>
            </w:pPr>
            <w:r w:rsidRPr="0088721F">
              <w:rPr>
                <w:iCs/>
                <w:sz w:val="20"/>
                <w:szCs w:val="20"/>
              </w:rPr>
              <w:t>Grapevine ecol</w:t>
            </w:r>
            <w:r>
              <w:rPr>
                <w:iCs/>
                <w:sz w:val="20"/>
                <w:szCs w:val="20"/>
              </w:rPr>
              <w:t>o</w:t>
            </w:r>
            <w:r w:rsidRPr="0088721F">
              <w:rPr>
                <w:iCs/>
                <w:sz w:val="20"/>
                <w:szCs w:val="20"/>
              </w:rPr>
              <w:t>gy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Heat (Influence of extremely low and high temperatures on grapevine, temperature summs, prapevine preparing for wintering), light (sun shining duration), soil and air humidity, winds, causes of climate diversity. </w:t>
            </w:r>
          </w:p>
          <w:p w:rsidR="00DA7E50" w:rsidRDefault="0034401D" w:rsidP="00DA7E50">
            <w:pPr>
              <w:rPr>
                <w:iCs/>
                <w:sz w:val="20"/>
                <w:szCs w:val="20"/>
              </w:rPr>
            </w:pPr>
            <w:r w:rsidRPr="0034401D">
              <w:rPr>
                <w:iCs/>
                <w:sz w:val="20"/>
                <w:szCs w:val="20"/>
              </w:rPr>
              <w:t>Grapevine propagation</w:t>
            </w:r>
            <w:r w:rsidR="00DA7E50" w:rsidRPr="00744D6C">
              <w:rPr>
                <w:iCs/>
                <w:sz w:val="20"/>
                <w:szCs w:val="20"/>
                <w:lang w:val="sr-Cyrl-CS"/>
              </w:rPr>
              <w:t xml:space="preserve">: </w:t>
            </w:r>
            <w:r>
              <w:rPr>
                <w:iCs/>
                <w:sz w:val="20"/>
                <w:szCs w:val="20"/>
              </w:rPr>
              <w:t>Generative propagation, vegetative propagation (cut</w:t>
            </w:r>
            <w:r w:rsidR="001A5768">
              <w:rPr>
                <w:iCs/>
                <w:sz w:val="20"/>
                <w:szCs w:val="20"/>
              </w:rPr>
              <w:t>t</w:t>
            </w:r>
            <w:r>
              <w:rPr>
                <w:iCs/>
                <w:sz w:val="20"/>
                <w:szCs w:val="20"/>
              </w:rPr>
              <w:t xml:space="preserve">ings, grafting), Vinestock </w:t>
            </w:r>
            <w:r w:rsidRPr="0034401D">
              <w:rPr>
                <w:sz w:val="20"/>
                <w:szCs w:val="20"/>
              </w:rPr>
              <w:t>necessary</w:t>
            </w:r>
            <w:r>
              <w:rPr>
                <w:sz w:val="20"/>
                <w:szCs w:val="20"/>
              </w:rPr>
              <w:t xml:space="preserve"> features for grafting.</w:t>
            </w:r>
          </w:p>
          <w:p w:rsidR="00DA7E50" w:rsidRPr="00C33754" w:rsidRDefault="0034401D" w:rsidP="00DA7E50">
            <w:pPr>
              <w:rPr>
                <w:bCs/>
                <w:sz w:val="20"/>
                <w:szCs w:val="20"/>
                <w:u w:val="single"/>
                <w:lang w:val="ru-RU"/>
              </w:rPr>
            </w:pPr>
            <w:r w:rsidRPr="00C33754">
              <w:rPr>
                <w:iCs/>
                <w:sz w:val="20"/>
                <w:szCs w:val="20"/>
                <w:u w:val="single"/>
              </w:rPr>
              <w:t>Practical classes</w:t>
            </w:r>
          </w:p>
          <w:p w:rsidR="005E42D1" w:rsidRDefault="00C33754" w:rsidP="001A5768">
            <w:r>
              <w:rPr>
                <w:bCs/>
                <w:sz w:val="20"/>
                <w:szCs w:val="20"/>
              </w:rPr>
              <w:t>Vine and grapevine vegetative and generative organs review, Anatomy of roots, shoots, trunk, leaves. Cold hardiness of vine and grapevine tissues and organs, propagation by cuttings and grafting</w:t>
            </w:r>
            <w:r w:rsidR="001A5768">
              <w:rPr>
                <w:bCs/>
                <w:sz w:val="20"/>
                <w:szCs w:val="20"/>
              </w:rPr>
              <w:t xml:space="preserve">-review.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1A5768">
            <w:pPr>
              <w:rPr>
                <w:sz w:val="18"/>
                <w:szCs w:val="18"/>
              </w:rPr>
            </w:pPr>
            <w:r w:rsidRPr="001A5768">
              <w:rPr>
                <w:rFonts w:cstheme="minorHAnsi"/>
                <w:sz w:val="20"/>
                <w:szCs w:val="20"/>
              </w:rPr>
              <w:t>Lectures, Practice/ Practical classes, Consultations, study, research wor</w:t>
            </w:r>
            <w:r w:rsidR="001A5768">
              <w:rPr>
                <w:rFonts w:cstheme="minorHAnsi"/>
                <w:sz w:val="20"/>
                <w:szCs w:val="20"/>
              </w:rPr>
              <w:t>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06D2C">
        <w:tc>
          <w:tcPr>
            <w:tcW w:w="2374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E42D1" w:rsidRPr="005E42D1" w:rsidRDefault="00D02E1F" w:rsidP="00316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C06D2C">
        <w:tc>
          <w:tcPr>
            <w:tcW w:w="2374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C06D2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5E42D1" w:rsidRPr="005E42D1" w:rsidRDefault="001A576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E42D1" w:rsidRPr="002B5F4A" w:rsidRDefault="00D02E1F" w:rsidP="001A5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5F4A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E42D1" w:rsidRPr="005E42D1" w:rsidRDefault="003166B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06D2C" w:rsidTr="00C06D2C">
        <w:tc>
          <w:tcPr>
            <w:tcW w:w="4808" w:type="dxa"/>
            <w:gridSpan w:val="6"/>
            <w:shd w:val="clear" w:color="auto" w:fill="auto"/>
            <w:vAlign w:val="center"/>
          </w:tcPr>
          <w:p w:rsidR="00C06D2C" w:rsidRPr="005E42D1" w:rsidRDefault="00C06D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5"/>
            <w:vMerge w:val="restart"/>
            <w:shd w:val="clear" w:color="auto" w:fill="auto"/>
            <w:vAlign w:val="center"/>
          </w:tcPr>
          <w:p w:rsidR="00C06D2C" w:rsidRPr="005E42D1" w:rsidRDefault="00C06D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06D2C">
        <w:tc>
          <w:tcPr>
            <w:tcW w:w="2374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C06D2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D02E1F" w:rsidRPr="005E42D1" w:rsidRDefault="001A576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06D2C">
        <w:tc>
          <w:tcPr>
            <w:tcW w:w="2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A5768" w:rsidRDefault="00D02E1F" w:rsidP="001A5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C06D2C">
            <w:pPr>
              <w:jc w:val="center"/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06D2C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69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5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C06D2C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E42D1" w:rsidRPr="00E44E20" w:rsidRDefault="001A5768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4E20">
              <w:rPr>
                <w:rFonts w:cstheme="minorHAnsi"/>
                <w:sz w:val="20"/>
                <w:szCs w:val="20"/>
              </w:rPr>
              <w:t xml:space="preserve">Ivan D. </w:t>
            </w:r>
            <w:proofErr w:type="spellStart"/>
            <w:r w:rsidRPr="00E44E20">
              <w:rPr>
                <w:rFonts w:cstheme="minorHAnsi"/>
                <w:sz w:val="20"/>
                <w:szCs w:val="20"/>
              </w:rPr>
              <w:t>Kuljančić</w:t>
            </w:r>
            <w:proofErr w:type="spellEnd"/>
          </w:p>
        </w:tc>
        <w:tc>
          <w:tcPr>
            <w:tcW w:w="2434" w:type="dxa"/>
            <w:gridSpan w:val="3"/>
            <w:vAlign w:val="center"/>
          </w:tcPr>
          <w:p w:rsidR="005E42D1" w:rsidRPr="00E44E20" w:rsidRDefault="001A5768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4E20">
              <w:rPr>
                <w:rFonts w:cstheme="minorHAnsi"/>
                <w:sz w:val="20"/>
                <w:szCs w:val="20"/>
              </w:rPr>
              <w:t>Vinogradarstvo-vinova</w:t>
            </w:r>
            <w:proofErr w:type="spellEnd"/>
            <w:r w:rsidRPr="00E44E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4E20">
              <w:rPr>
                <w:rFonts w:cstheme="minorHAnsi"/>
                <w:sz w:val="20"/>
                <w:szCs w:val="20"/>
              </w:rPr>
              <w:t>loza</w:t>
            </w:r>
            <w:proofErr w:type="spellEnd"/>
            <w:r w:rsidRPr="00E44E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4E20">
              <w:rPr>
                <w:rFonts w:cstheme="minorHAnsi"/>
                <w:sz w:val="20"/>
                <w:szCs w:val="20"/>
              </w:rPr>
              <w:t>ta</w:t>
            </w:r>
            <w:proofErr w:type="spellEnd"/>
            <w:r w:rsidRPr="00E44E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4E20">
              <w:rPr>
                <w:rFonts w:cstheme="minorHAnsi"/>
                <w:sz w:val="20"/>
                <w:szCs w:val="20"/>
              </w:rPr>
              <w:t>božanska</w:t>
            </w:r>
            <w:proofErr w:type="spellEnd"/>
            <w:r w:rsidRPr="00E44E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4E20">
              <w:rPr>
                <w:rFonts w:cstheme="minorHAnsi"/>
                <w:sz w:val="20"/>
                <w:szCs w:val="20"/>
              </w:rPr>
              <w:t>biljka</w:t>
            </w:r>
            <w:proofErr w:type="spellEnd"/>
          </w:p>
        </w:tc>
        <w:tc>
          <w:tcPr>
            <w:tcW w:w="3659" w:type="dxa"/>
            <w:gridSpan w:val="4"/>
            <w:vAlign w:val="center"/>
          </w:tcPr>
          <w:p w:rsidR="005E42D1" w:rsidRPr="00E44E20" w:rsidRDefault="001A5768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4E20">
              <w:rPr>
                <w:rFonts w:cstheme="minorHAnsi"/>
                <w:sz w:val="20"/>
                <w:szCs w:val="20"/>
              </w:rPr>
              <w:t>Prometej</w:t>
            </w:r>
            <w:proofErr w:type="spellEnd"/>
            <w:r w:rsidRPr="00E44E20">
              <w:rPr>
                <w:rFonts w:cstheme="minorHAnsi"/>
                <w:sz w:val="20"/>
                <w:szCs w:val="20"/>
              </w:rPr>
              <w:t>, Novi Sad</w:t>
            </w:r>
          </w:p>
        </w:tc>
        <w:tc>
          <w:tcPr>
            <w:tcW w:w="1155" w:type="dxa"/>
            <w:vAlign w:val="center"/>
          </w:tcPr>
          <w:p w:rsidR="005E42D1" w:rsidRPr="00E44E20" w:rsidRDefault="001A5768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4E20">
              <w:rPr>
                <w:rFonts w:cstheme="minorHAnsi"/>
                <w:sz w:val="20"/>
                <w:szCs w:val="20"/>
              </w:rPr>
              <w:t>2007/2008</w:t>
            </w:r>
            <w:r w:rsidR="00E44E2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2E1F" w:rsidTr="00C06D2C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02E1F" w:rsidRPr="00D02E1F" w:rsidRDefault="00E44E2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Nebojša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Marković</w:t>
            </w:r>
            <w:proofErr w:type="spellEnd"/>
            <w:r>
              <w:rPr>
                <w:bCs/>
                <w:sz w:val="20"/>
                <w:szCs w:val="20"/>
              </w:rPr>
              <w:t xml:space="preserve">, Aleksandar </w:t>
            </w:r>
            <w:proofErr w:type="spellStart"/>
            <w:r>
              <w:rPr>
                <w:bCs/>
                <w:sz w:val="20"/>
                <w:szCs w:val="20"/>
              </w:rPr>
              <w:t>Nakalamić</w:t>
            </w:r>
            <w:proofErr w:type="spellEnd"/>
          </w:p>
        </w:tc>
        <w:tc>
          <w:tcPr>
            <w:tcW w:w="2434" w:type="dxa"/>
            <w:gridSpan w:val="3"/>
            <w:vAlign w:val="center"/>
          </w:tcPr>
          <w:p w:rsidR="00D02E1F" w:rsidRPr="00D02E1F" w:rsidRDefault="00E44E2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Opšte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</w:p>
        </w:tc>
        <w:tc>
          <w:tcPr>
            <w:tcW w:w="3659" w:type="dxa"/>
            <w:gridSpan w:val="4"/>
            <w:vAlign w:val="center"/>
          </w:tcPr>
          <w:p w:rsidR="00D02E1F" w:rsidRPr="00D02E1F" w:rsidRDefault="00E44E2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Poljoprivredni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fakultet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Zemun</w:t>
            </w:r>
            <w:proofErr w:type="spellEnd"/>
            <w:r>
              <w:rPr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sz w:val="20"/>
                <w:szCs w:val="20"/>
              </w:rPr>
              <w:t>Zadužbina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manastira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Hilandara</w:t>
            </w:r>
            <w:proofErr w:type="spellEnd"/>
          </w:p>
        </w:tc>
        <w:tc>
          <w:tcPr>
            <w:tcW w:w="1155" w:type="dxa"/>
            <w:vAlign w:val="center"/>
          </w:tcPr>
          <w:p w:rsidR="00D02E1F" w:rsidRPr="00D02E1F" w:rsidRDefault="00E44E2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2009.</w:t>
            </w:r>
          </w:p>
        </w:tc>
      </w:tr>
      <w:tr w:rsidR="00E44E20" w:rsidTr="00C06D2C">
        <w:tc>
          <w:tcPr>
            <w:tcW w:w="675" w:type="dxa"/>
            <w:vAlign w:val="center"/>
          </w:tcPr>
          <w:p w:rsidR="00E44E20" w:rsidRPr="00D02E1F" w:rsidRDefault="00E44E2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44E20" w:rsidRDefault="00E44E20" w:rsidP="00D02E1F">
            <w:pPr>
              <w:jc w:val="center"/>
              <w:rPr>
                <w:bCs/>
                <w:sz w:val="20"/>
                <w:szCs w:val="20"/>
              </w:rPr>
            </w:pPr>
            <w:r w:rsidRPr="007804EF">
              <w:rPr>
                <w:rFonts w:cstheme="minorHAnsi"/>
                <w:sz w:val="20"/>
                <w:szCs w:val="20"/>
              </w:rPr>
              <w:t>Marcus Keller</w:t>
            </w:r>
          </w:p>
        </w:tc>
        <w:tc>
          <w:tcPr>
            <w:tcW w:w="2434" w:type="dxa"/>
            <w:gridSpan w:val="3"/>
            <w:vAlign w:val="center"/>
          </w:tcPr>
          <w:p w:rsidR="00E44E20" w:rsidRDefault="005C12D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2B">
              <w:rPr>
                <w:bCs/>
                <w:sz w:val="20"/>
                <w:szCs w:val="20"/>
              </w:rPr>
              <w:t>The science of grapevines-anatomy and physiology</w:t>
            </w:r>
          </w:p>
        </w:tc>
        <w:tc>
          <w:tcPr>
            <w:tcW w:w="3659" w:type="dxa"/>
            <w:gridSpan w:val="4"/>
            <w:vAlign w:val="center"/>
          </w:tcPr>
          <w:p w:rsidR="00E44E20" w:rsidRDefault="005C12D3" w:rsidP="00D02E1F">
            <w:pPr>
              <w:jc w:val="center"/>
              <w:rPr>
                <w:bCs/>
                <w:sz w:val="20"/>
                <w:szCs w:val="20"/>
              </w:rPr>
            </w:pPr>
            <w:r w:rsidRPr="009C542B">
              <w:rPr>
                <w:bCs/>
                <w:sz w:val="20"/>
                <w:szCs w:val="20"/>
              </w:rPr>
              <w:t>Elsevier-Academic Press</w:t>
            </w:r>
            <w:r>
              <w:rPr>
                <w:bCs/>
                <w:sz w:val="20"/>
                <w:szCs w:val="20"/>
              </w:rPr>
              <w:t>, San Diego</w:t>
            </w:r>
          </w:p>
        </w:tc>
        <w:tc>
          <w:tcPr>
            <w:tcW w:w="1155" w:type="dxa"/>
            <w:vAlign w:val="center"/>
          </w:tcPr>
          <w:p w:rsidR="00E44E20" w:rsidRDefault="005C12D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</w:tr>
      <w:tr w:rsidR="005C12D3" w:rsidTr="00C06D2C">
        <w:tc>
          <w:tcPr>
            <w:tcW w:w="675" w:type="dxa"/>
            <w:vAlign w:val="center"/>
          </w:tcPr>
          <w:p w:rsidR="005C12D3" w:rsidRPr="00D02E1F" w:rsidRDefault="005C12D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C12D3" w:rsidRPr="007804EF" w:rsidRDefault="005C12D3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42B">
              <w:rPr>
                <w:bCs/>
                <w:sz w:val="20"/>
                <w:szCs w:val="20"/>
              </w:rPr>
              <w:t xml:space="preserve">Peter R. Dry, B.G. </w:t>
            </w:r>
            <w:proofErr w:type="spellStart"/>
            <w:r w:rsidRPr="009C542B">
              <w:rPr>
                <w:bCs/>
                <w:sz w:val="20"/>
                <w:szCs w:val="20"/>
              </w:rPr>
              <w:t>Coombe</w:t>
            </w:r>
            <w:proofErr w:type="spellEnd"/>
          </w:p>
        </w:tc>
        <w:tc>
          <w:tcPr>
            <w:tcW w:w="2434" w:type="dxa"/>
            <w:gridSpan w:val="3"/>
            <w:vAlign w:val="center"/>
          </w:tcPr>
          <w:p w:rsidR="005C12D3" w:rsidRPr="009C542B" w:rsidRDefault="005C12D3" w:rsidP="00D02E1F">
            <w:pPr>
              <w:jc w:val="center"/>
              <w:rPr>
                <w:bCs/>
                <w:sz w:val="20"/>
                <w:szCs w:val="20"/>
              </w:rPr>
            </w:pPr>
            <w:r w:rsidRPr="009C542B">
              <w:rPr>
                <w:bCs/>
                <w:sz w:val="20"/>
                <w:szCs w:val="20"/>
              </w:rPr>
              <w:t>Viticulture (Volume 1),</w:t>
            </w:r>
          </w:p>
        </w:tc>
        <w:tc>
          <w:tcPr>
            <w:tcW w:w="3659" w:type="dxa"/>
            <w:gridSpan w:val="4"/>
            <w:vAlign w:val="center"/>
          </w:tcPr>
          <w:p w:rsidR="005C12D3" w:rsidRPr="009C542B" w:rsidRDefault="005C12D3" w:rsidP="00D02E1F">
            <w:pPr>
              <w:jc w:val="center"/>
              <w:rPr>
                <w:bCs/>
                <w:sz w:val="20"/>
                <w:szCs w:val="20"/>
              </w:rPr>
            </w:pPr>
            <w:r w:rsidRPr="009C542B">
              <w:rPr>
                <w:bCs/>
                <w:sz w:val="20"/>
                <w:szCs w:val="20"/>
              </w:rPr>
              <w:t>Resources</w:t>
            </w:r>
            <w:r>
              <w:rPr>
                <w:bCs/>
                <w:sz w:val="20"/>
                <w:szCs w:val="20"/>
              </w:rPr>
              <w:t>, Adelaide</w:t>
            </w:r>
          </w:p>
        </w:tc>
        <w:tc>
          <w:tcPr>
            <w:tcW w:w="1155" w:type="dxa"/>
            <w:vAlign w:val="center"/>
          </w:tcPr>
          <w:p w:rsidR="005C12D3" w:rsidRDefault="005C12D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8A2DF7" w:rsidP="001312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Frutigrowing</w:t>
            </w:r>
            <w:proofErr w:type="spellEnd"/>
            <w:r>
              <w:rPr>
                <w:sz w:val="28"/>
                <w:szCs w:val="28"/>
              </w:rPr>
              <w:t xml:space="preserve"> and viticulture 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8A2DF7" w:rsidP="008A2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26AEC"/>
    <w:rsid w:val="001312B9"/>
    <w:rsid w:val="001A5768"/>
    <w:rsid w:val="001F34D7"/>
    <w:rsid w:val="002319BC"/>
    <w:rsid w:val="00255EDE"/>
    <w:rsid w:val="002611DF"/>
    <w:rsid w:val="002B5F4A"/>
    <w:rsid w:val="002F7DF3"/>
    <w:rsid w:val="003166B3"/>
    <w:rsid w:val="00322F84"/>
    <w:rsid w:val="00335EC2"/>
    <w:rsid w:val="0034401D"/>
    <w:rsid w:val="0046578E"/>
    <w:rsid w:val="004666C8"/>
    <w:rsid w:val="004C1CC6"/>
    <w:rsid w:val="00535E50"/>
    <w:rsid w:val="005A2682"/>
    <w:rsid w:val="005C12D3"/>
    <w:rsid w:val="005E42D1"/>
    <w:rsid w:val="0069159C"/>
    <w:rsid w:val="00720F53"/>
    <w:rsid w:val="007779AB"/>
    <w:rsid w:val="00837954"/>
    <w:rsid w:val="0088721F"/>
    <w:rsid w:val="008A2DF7"/>
    <w:rsid w:val="00920F6C"/>
    <w:rsid w:val="00927F2D"/>
    <w:rsid w:val="00980886"/>
    <w:rsid w:val="009B28FB"/>
    <w:rsid w:val="009E2BF4"/>
    <w:rsid w:val="00AE67EE"/>
    <w:rsid w:val="00B13D46"/>
    <w:rsid w:val="00BB741E"/>
    <w:rsid w:val="00C06D2C"/>
    <w:rsid w:val="00C1207F"/>
    <w:rsid w:val="00C21CE9"/>
    <w:rsid w:val="00C33754"/>
    <w:rsid w:val="00CC0E96"/>
    <w:rsid w:val="00CC7AA9"/>
    <w:rsid w:val="00D02E1F"/>
    <w:rsid w:val="00D27E49"/>
    <w:rsid w:val="00D554D7"/>
    <w:rsid w:val="00D57E7D"/>
    <w:rsid w:val="00DA7E50"/>
    <w:rsid w:val="00DF0ABC"/>
    <w:rsid w:val="00E376F4"/>
    <w:rsid w:val="00E44E20"/>
    <w:rsid w:val="00EA3180"/>
    <w:rsid w:val="00EF623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ivan.kuljancic</cp:lastModifiedBy>
  <cp:revision>12</cp:revision>
  <dcterms:created xsi:type="dcterms:W3CDTF">2015-01-19T11:42:00Z</dcterms:created>
  <dcterms:modified xsi:type="dcterms:W3CDTF">2015-01-21T10:48:00Z</dcterms:modified>
</cp:coreProperties>
</file>