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143"/>
        <w:gridCol w:w="141"/>
        <w:gridCol w:w="1134"/>
        <w:gridCol w:w="567"/>
        <w:gridCol w:w="734"/>
        <w:gridCol w:w="1109"/>
        <w:gridCol w:w="284"/>
        <w:gridCol w:w="1134"/>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11"/>
            <w:vMerge w:val="restart"/>
            <w:vAlign w:val="center"/>
          </w:tcPr>
          <w:p w:rsidR="009E2BF4" w:rsidRPr="009E2BF4" w:rsidRDefault="007A7CAB" w:rsidP="009E2BF4">
            <w:pPr>
              <w:jc w:val="center"/>
              <w:rPr>
                <w:rFonts w:ascii="Arial" w:hAnsi="Arial" w:cs="Arial"/>
                <w:i/>
                <w:sz w:val="18"/>
                <w:szCs w:val="18"/>
              </w:rPr>
            </w:pPr>
            <w:r w:rsidRPr="007A7CAB">
              <w:rPr>
                <w:rFonts w:ascii="Arial" w:hAnsi="Arial" w:cs="Arial"/>
                <w:b/>
                <w:bCs/>
                <w:i/>
                <w:sz w:val="18"/>
                <w:szCs w:val="18"/>
              </w:rPr>
              <w:t>Nutrient Cycle in</w:t>
            </w:r>
            <w:r w:rsidRPr="007A7CAB">
              <w:rPr>
                <w:rFonts w:ascii="Arial" w:hAnsi="Arial" w:cs="Arial"/>
                <w:b/>
                <w:bCs/>
                <w:i/>
                <w:sz w:val="18"/>
                <w:szCs w:val="18"/>
                <w:lang w:val="sr-Cyrl-CS"/>
              </w:rPr>
              <w:t xml:space="preserve"> </w:t>
            </w:r>
            <w:r w:rsidRPr="007A7CAB">
              <w:rPr>
                <w:rFonts w:ascii="Arial" w:hAnsi="Arial" w:cs="Arial"/>
                <w:b/>
                <w:bCs/>
                <w:i/>
                <w:sz w:val="18"/>
                <w:szCs w:val="18"/>
              </w:rPr>
              <w:t>the</w:t>
            </w:r>
            <w:r w:rsidRPr="007A7CAB">
              <w:rPr>
                <w:rFonts w:ascii="Arial" w:hAnsi="Arial" w:cs="Arial"/>
                <w:b/>
                <w:bCs/>
                <w:i/>
                <w:sz w:val="18"/>
                <w:szCs w:val="18"/>
                <w:lang w:val="sr-Cyrl-CS"/>
              </w:rPr>
              <w:t xml:space="preserve"> </w:t>
            </w:r>
            <w:r w:rsidRPr="007A7CAB">
              <w:rPr>
                <w:rFonts w:ascii="Arial" w:hAnsi="Arial" w:cs="Arial"/>
                <w:b/>
                <w:bCs/>
                <w:i/>
                <w:sz w:val="18"/>
                <w:szCs w:val="18"/>
              </w:rPr>
              <w:t>Environment</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6968EC" w:rsidRPr="006968EC">
              <w:rPr>
                <w:rFonts w:ascii="Arial" w:hAnsi="Arial" w:cs="Arial"/>
                <w:bCs/>
                <w:sz w:val="16"/>
                <w:szCs w:val="16"/>
                <w:lang w:val="sr-Cyrl-CS"/>
              </w:rPr>
              <w:t>3МЗИ1И06</w:t>
            </w:r>
          </w:p>
        </w:tc>
        <w:tc>
          <w:tcPr>
            <w:tcW w:w="7530" w:type="dxa"/>
            <w:gridSpan w:val="11"/>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6968EC">
              <w:rPr>
                <w:rFonts w:ascii="Arial" w:hAnsi="Arial" w:cs="Arial"/>
                <w:sz w:val="16"/>
                <w:szCs w:val="16"/>
              </w:rPr>
              <w:t xml:space="preserve"> 6</w:t>
            </w:r>
          </w:p>
        </w:tc>
        <w:tc>
          <w:tcPr>
            <w:tcW w:w="7530" w:type="dxa"/>
            <w:gridSpan w:val="11"/>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11"/>
          </w:tcPr>
          <w:p w:rsidR="002611DF" w:rsidRPr="007A7CAB" w:rsidRDefault="004F4EEB" w:rsidP="001312B9">
            <w:r>
              <w:rPr>
                <w:sz w:val="20"/>
                <w:szCs w:val="20"/>
                <w:lang w:val="sr-Cyrl-CS"/>
              </w:rPr>
              <w:t>prof</w:t>
            </w:r>
            <w:r w:rsidR="007A7CAB" w:rsidRPr="008D7107">
              <w:rPr>
                <w:sz w:val="20"/>
                <w:szCs w:val="20"/>
                <w:lang w:val="sr-Cyrl-CS"/>
              </w:rPr>
              <w:t>.</w:t>
            </w:r>
            <w:r w:rsidR="007A7CAB" w:rsidRPr="008D7107">
              <w:rPr>
                <w:b/>
                <w:bCs/>
                <w:sz w:val="20"/>
                <w:szCs w:val="20"/>
              </w:rPr>
              <w:t xml:space="preserve"> </w:t>
            </w:r>
            <w:r>
              <w:rPr>
                <w:sz w:val="20"/>
                <w:szCs w:val="20"/>
                <w:lang w:val="sr-Cyrl-CS"/>
              </w:rPr>
              <w:t>dr</w:t>
            </w:r>
            <w:r w:rsidR="007A7CAB" w:rsidRPr="008D7107">
              <w:rPr>
                <w:sz w:val="20"/>
                <w:szCs w:val="20"/>
                <w:lang w:val="sr-Cyrl-CS"/>
              </w:rPr>
              <w:t xml:space="preserve"> </w:t>
            </w:r>
            <w:r>
              <w:rPr>
                <w:sz w:val="20"/>
                <w:szCs w:val="20"/>
                <w:lang w:val="sr-Cyrl-CS"/>
              </w:rPr>
              <w:t>Darinka</w:t>
            </w:r>
            <w:r w:rsidR="007A7CAB" w:rsidRPr="008D7107">
              <w:rPr>
                <w:sz w:val="20"/>
                <w:szCs w:val="20"/>
                <w:lang w:val="sr-Cyrl-CS"/>
              </w:rPr>
              <w:t xml:space="preserve">, </w:t>
            </w:r>
            <w:r>
              <w:rPr>
                <w:sz w:val="20"/>
                <w:szCs w:val="20"/>
                <w:lang w:val="sr-Cyrl-CS"/>
              </w:rPr>
              <w:t>M</w:t>
            </w:r>
            <w:r w:rsidR="007A7CAB" w:rsidRPr="008D7107">
              <w:rPr>
                <w:sz w:val="20"/>
                <w:szCs w:val="20"/>
                <w:lang w:val="sr-Cyrl-CS"/>
              </w:rPr>
              <w:t xml:space="preserve">., </w:t>
            </w:r>
            <w:r>
              <w:rPr>
                <w:sz w:val="20"/>
                <w:szCs w:val="20"/>
                <w:lang w:val="sr-Cyrl-CS"/>
              </w:rPr>
              <w:t>Bogdanović</w:t>
            </w:r>
            <w:r w:rsidR="007A7CAB" w:rsidRPr="008D7107">
              <w:rPr>
                <w:sz w:val="20"/>
                <w:szCs w:val="20"/>
                <w:lang w:val="sr-Cyrl-CS"/>
              </w:rPr>
              <w:t xml:space="preserve">,  </w:t>
            </w:r>
            <w:r>
              <w:rPr>
                <w:sz w:val="20"/>
                <w:szCs w:val="20"/>
                <w:lang w:val="sr-Cyrl-CS"/>
              </w:rPr>
              <w:t>prof</w:t>
            </w:r>
            <w:r w:rsidR="007A7CAB" w:rsidRPr="008D7107">
              <w:rPr>
                <w:sz w:val="20"/>
                <w:szCs w:val="20"/>
                <w:lang w:val="sr-Cyrl-CS"/>
              </w:rPr>
              <w:t xml:space="preserve"> </w:t>
            </w:r>
            <w:r>
              <w:rPr>
                <w:sz w:val="20"/>
                <w:szCs w:val="20"/>
                <w:lang w:val="sr-Cyrl-CS"/>
              </w:rPr>
              <w:t>dr</w:t>
            </w:r>
            <w:r w:rsidR="007A7CAB" w:rsidRPr="008D7107">
              <w:rPr>
                <w:sz w:val="20"/>
                <w:szCs w:val="20"/>
                <w:lang w:val="sr-Cyrl-CS"/>
              </w:rPr>
              <w:t xml:space="preserve"> </w:t>
            </w:r>
            <w:r>
              <w:rPr>
                <w:sz w:val="20"/>
                <w:szCs w:val="20"/>
                <w:lang w:val="sr-Cyrl-CS"/>
              </w:rPr>
              <w:t>Maja</w:t>
            </w:r>
            <w:r w:rsidR="007A7CAB" w:rsidRPr="008D7107">
              <w:rPr>
                <w:sz w:val="20"/>
                <w:szCs w:val="20"/>
                <w:lang w:val="sr-Cyrl-CS"/>
              </w:rPr>
              <w:t xml:space="preserve">, </w:t>
            </w:r>
            <w:r>
              <w:rPr>
                <w:sz w:val="20"/>
                <w:szCs w:val="20"/>
                <w:lang w:val="sr-Cyrl-CS"/>
              </w:rPr>
              <w:t>S</w:t>
            </w:r>
            <w:r w:rsidR="007A7CAB" w:rsidRPr="008D7107">
              <w:rPr>
                <w:sz w:val="20"/>
                <w:szCs w:val="20"/>
                <w:lang w:val="sr-Cyrl-CS"/>
              </w:rPr>
              <w:t xml:space="preserve">., </w:t>
            </w:r>
            <w:r>
              <w:rPr>
                <w:sz w:val="20"/>
                <w:szCs w:val="20"/>
                <w:lang w:val="sr-Cyrl-CS"/>
              </w:rPr>
              <w:t>Manojlović</w:t>
            </w:r>
            <w:r w:rsidR="007A7CAB">
              <w:rPr>
                <w:sz w:val="20"/>
                <w:szCs w:val="20"/>
              </w:rPr>
              <w:t xml:space="preserve">, </w:t>
            </w:r>
            <w:r w:rsidR="007A7CAB" w:rsidRPr="008D7107">
              <w:rPr>
                <w:bCs/>
                <w:sz w:val="20"/>
                <w:szCs w:val="20"/>
                <w:lang w:val="sr-Cyrl-CS"/>
              </w:rPr>
              <w:t xml:space="preserve"> </w:t>
            </w:r>
            <w:r>
              <w:rPr>
                <w:bCs/>
                <w:sz w:val="20"/>
                <w:szCs w:val="20"/>
                <w:lang w:val="sr-Cyrl-CS"/>
              </w:rPr>
              <w:t>mr</w:t>
            </w:r>
            <w:r w:rsidR="007A7CAB" w:rsidRPr="008D7107">
              <w:rPr>
                <w:bCs/>
                <w:sz w:val="20"/>
                <w:szCs w:val="20"/>
                <w:lang w:val="sr-Cyrl-CS"/>
              </w:rPr>
              <w:t xml:space="preserve"> </w:t>
            </w:r>
            <w:r>
              <w:rPr>
                <w:bCs/>
                <w:sz w:val="20"/>
                <w:szCs w:val="20"/>
                <w:lang w:val="sr-Cyrl-CS"/>
              </w:rPr>
              <w:t>Ranko</w:t>
            </w:r>
            <w:r w:rsidR="007A7CAB" w:rsidRPr="008D7107">
              <w:rPr>
                <w:bCs/>
                <w:sz w:val="20"/>
                <w:szCs w:val="20"/>
                <w:lang w:val="sr-Cyrl-CS"/>
              </w:rPr>
              <w:t xml:space="preserve">, </w:t>
            </w:r>
            <w:r>
              <w:rPr>
                <w:bCs/>
                <w:sz w:val="20"/>
                <w:szCs w:val="20"/>
                <w:lang w:val="sr-Cyrl-CS"/>
              </w:rPr>
              <w:t>R</w:t>
            </w:r>
            <w:r w:rsidR="007A7CAB" w:rsidRPr="008D7107">
              <w:rPr>
                <w:bCs/>
                <w:sz w:val="20"/>
                <w:szCs w:val="20"/>
                <w:lang w:val="sr-Cyrl-CS"/>
              </w:rPr>
              <w:t xml:space="preserve">., </w:t>
            </w:r>
            <w:r>
              <w:rPr>
                <w:bCs/>
                <w:sz w:val="20"/>
                <w:szCs w:val="20"/>
                <w:lang w:val="sr-Cyrl-CS"/>
              </w:rPr>
              <w:t>Čabilovski</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11"/>
            <w:tcBorders>
              <w:bottom w:val="single" w:sz="4" w:space="0" w:color="auto"/>
            </w:tcBorders>
          </w:tcPr>
          <w:p w:rsidR="00DF0ABC" w:rsidRDefault="00AE67EE" w:rsidP="001312B9">
            <w:r>
              <w:rPr>
                <w:sz w:val="18"/>
                <w:szCs w:val="18"/>
              </w:rPr>
              <w:t>Elective</w:t>
            </w:r>
          </w:p>
        </w:tc>
      </w:tr>
      <w:tr w:rsidR="009E2BF4" w:rsidTr="009E2BF4">
        <w:trPr>
          <w:trHeight w:val="227"/>
        </w:trPr>
        <w:tc>
          <w:tcPr>
            <w:tcW w:w="9622" w:type="dxa"/>
            <w:gridSpan w:val="13"/>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7A7CAB">
              <w:rPr>
                <w:rFonts w:ascii="Arial" w:hAnsi="Arial" w:cs="Arial"/>
                <w:sz w:val="16"/>
                <w:szCs w:val="16"/>
              </w:rPr>
              <w:t xml:space="preserve"> 2</w:t>
            </w:r>
          </w:p>
        </w:tc>
        <w:tc>
          <w:tcPr>
            <w:tcW w:w="1985" w:type="dxa"/>
            <w:gridSpan w:val="4"/>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7A7CAB">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r w:rsidR="007A7CAB">
              <w:rPr>
                <w:rFonts w:ascii="Arial" w:hAnsi="Arial" w:cs="Arial"/>
                <w:sz w:val="16"/>
                <w:szCs w:val="16"/>
              </w:rPr>
              <w:t>/</w:t>
            </w:r>
          </w:p>
        </w:tc>
        <w:tc>
          <w:tcPr>
            <w:tcW w:w="1843"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r w:rsidR="007A7CAB">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r w:rsidR="007A7CAB">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11"/>
            <w:shd w:val="clear" w:color="auto" w:fill="C2D69B" w:themeFill="accent3" w:themeFillTint="99"/>
            <w:vAlign w:val="center"/>
          </w:tcPr>
          <w:p w:rsidR="009E2BF4" w:rsidRPr="005E42D1" w:rsidRDefault="009E2BF4" w:rsidP="006968EC">
            <w:pPr>
              <w:rPr>
                <w:rFonts w:ascii="Arial" w:hAnsi="Arial" w:cs="Arial"/>
                <w:sz w:val="16"/>
                <w:szCs w:val="16"/>
              </w:rPr>
            </w:pPr>
            <w:r w:rsidRPr="005E42D1">
              <w:rPr>
                <w:rFonts w:ascii="Arial" w:hAnsi="Arial" w:cs="Arial"/>
                <w:sz w:val="16"/>
                <w:szCs w:val="16"/>
              </w:rPr>
              <w:t>None</w:t>
            </w:r>
          </w:p>
        </w:tc>
      </w:tr>
      <w:tr w:rsidR="005E42D1" w:rsidTr="00F07D88">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637E4B" w:rsidRDefault="007A7CAB" w:rsidP="009E2BF4">
            <w:pPr>
              <w:rPr>
                <w:sz w:val="18"/>
                <w:szCs w:val="18"/>
              </w:rPr>
            </w:pPr>
            <w:r w:rsidRPr="007A7CAB">
              <w:rPr>
                <w:sz w:val="18"/>
                <w:szCs w:val="18"/>
              </w:rPr>
              <w:t>The acquisition of expert knowledge about the cycles of biogenic elements in the environment, their importance in the food chain and the environment.</w:t>
            </w:r>
          </w:p>
        </w:tc>
      </w:tr>
      <w:tr w:rsidR="005E42D1" w:rsidTr="00F07D88">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637E4B" w:rsidRDefault="00637E4B" w:rsidP="009E2BF4">
            <w:pPr>
              <w:rPr>
                <w:sz w:val="18"/>
                <w:szCs w:val="18"/>
              </w:rPr>
            </w:pPr>
            <w:r w:rsidRPr="00637E4B">
              <w:rPr>
                <w:sz w:val="18"/>
                <w:szCs w:val="18"/>
              </w:rPr>
              <w:t>A student who successfully completes the course "</w:t>
            </w:r>
            <w:r>
              <w:rPr>
                <w:sz w:val="18"/>
                <w:szCs w:val="18"/>
              </w:rPr>
              <w:t>N</w:t>
            </w:r>
            <w:r w:rsidRPr="00637E4B">
              <w:rPr>
                <w:sz w:val="18"/>
                <w:szCs w:val="18"/>
              </w:rPr>
              <w:t>utrient cycles in the environment" will be able to apply the acquired knowledge in agricultural practices and in their scientific research.</w:t>
            </w:r>
          </w:p>
        </w:tc>
      </w:tr>
      <w:tr w:rsidR="005E42D1" w:rsidTr="00F07D88">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811791" w:rsidRPr="00811791" w:rsidRDefault="00811791" w:rsidP="00811791">
            <w:pPr>
              <w:rPr>
                <w:rFonts w:cstheme="minorHAnsi"/>
                <w:i/>
                <w:sz w:val="18"/>
                <w:szCs w:val="18"/>
                <w:lang w:val="en-GB"/>
              </w:rPr>
            </w:pPr>
            <w:r w:rsidRPr="00811791">
              <w:rPr>
                <w:rFonts w:cstheme="minorHAnsi"/>
                <w:i/>
                <w:sz w:val="18"/>
                <w:szCs w:val="18"/>
                <w:lang w:val="en-GB"/>
              </w:rPr>
              <w:t>Theoretical instruction</w:t>
            </w:r>
          </w:p>
          <w:p w:rsidR="005E42D1" w:rsidRDefault="00637E4B" w:rsidP="009E2BF4">
            <w:pPr>
              <w:rPr>
                <w:sz w:val="18"/>
                <w:szCs w:val="18"/>
              </w:rPr>
            </w:pPr>
            <w:r w:rsidRPr="003D1F0D">
              <w:rPr>
                <w:sz w:val="18"/>
                <w:szCs w:val="18"/>
              </w:rPr>
              <w:t>Cycles and global climate change. The cycle of carbon: organic matter in the soil, greenhouse gas emissions, lowering the concentration of CO</w:t>
            </w:r>
            <w:r w:rsidRPr="003D1F0D">
              <w:rPr>
                <w:sz w:val="18"/>
                <w:szCs w:val="18"/>
                <w:vertAlign w:val="subscript"/>
              </w:rPr>
              <w:t>2</w:t>
            </w:r>
            <w:r w:rsidRPr="003D1F0D">
              <w:rPr>
                <w:sz w:val="18"/>
                <w:szCs w:val="18"/>
              </w:rPr>
              <w:t xml:space="preserve"> in the air, measures to increase the organic matter content in the soil.</w:t>
            </w:r>
            <w:r w:rsidRPr="003D1F0D">
              <w:t xml:space="preserve"> </w:t>
            </w:r>
            <w:r w:rsidRPr="003D1F0D">
              <w:rPr>
                <w:sz w:val="18"/>
                <w:szCs w:val="18"/>
              </w:rPr>
              <w:t>Nitrogen cycle with special reference to the gaseous losses, migration and nitrate leaching and soil and water pollution.</w:t>
            </w:r>
            <w:r w:rsidRPr="003D1F0D">
              <w:t xml:space="preserve"> </w:t>
            </w:r>
            <w:r w:rsidRPr="003D1F0D">
              <w:rPr>
                <w:sz w:val="18"/>
                <w:szCs w:val="18"/>
              </w:rPr>
              <w:t xml:space="preserve">The cycle of phosphorus with special </w:t>
            </w:r>
            <w:r w:rsidR="002E0342" w:rsidRPr="003D1F0D">
              <w:rPr>
                <w:sz w:val="18"/>
                <w:szCs w:val="18"/>
              </w:rPr>
              <w:t xml:space="preserve"> reference to the</w:t>
            </w:r>
            <w:r w:rsidRPr="003D1F0D">
              <w:rPr>
                <w:sz w:val="18"/>
                <w:szCs w:val="18"/>
              </w:rPr>
              <w:t xml:space="preserve"> phosphorus losses by washing, and </w:t>
            </w:r>
            <w:proofErr w:type="spellStart"/>
            <w:r w:rsidRPr="003D1F0D">
              <w:rPr>
                <w:sz w:val="18"/>
                <w:szCs w:val="18"/>
              </w:rPr>
              <w:t>eutrophication</w:t>
            </w:r>
            <w:proofErr w:type="spellEnd"/>
            <w:r w:rsidRPr="003D1F0D">
              <w:rPr>
                <w:sz w:val="18"/>
                <w:szCs w:val="18"/>
              </w:rPr>
              <w:t xml:space="preserve"> of water.</w:t>
            </w:r>
            <w:r w:rsidR="002E0342" w:rsidRPr="003D1F0D">
              <w:rPr>
                <w:sz w:val="18"/>
                <w:szCs w:val="18"/>
              </w:rPr>
              <w:t xml:space="preserve"> Potassium cycle. Cycles of necessary</w:t>
            </w:r>
            <w:r w:rsidR="002E0342" w:rsidRPr="002E0342">
              <w:rPr>
                <w:sz w:val="18"/>
                <w:szCs w:val="18"/>
              </w:rPr>
              <w:t xml:space="preserve"> secondary macronutrient (sulfur, calc</w:t>
            </w:r>
            <w:r w:rsidR="002E0342">
              <w:rPr>
                <w:sz w:val="18"/>
                <w:szCs w:val="18"/>
              </w:rPr>
              <w:t>ium, magnesium), the ratio of S/Se, Ca/Mg, K/</w:t>
            </w:r>
            <w:r w:rsidR="002E0342" w:rsidRPr="002E0342">
              <w:rPr>
                <w:sz w:val="18"/>
                <w:szCs w:val="18"/>
              </w:rPr>
              <w:t>Mg, Ca/K + Mg. The cycles of trace elements (boron, copper, zinc, manganese, molybdenum, cobalt, selenium). The importance of trace elements in the food chain, deficiency and toxicity, antagonism with other elements. Legislation and Conventions (Kyoto Protocol, EU directives for nitrates and phosphates, the maximum allowable concentration of trace elements in soil, plants, water, Agricultural Land Law, the Law on Organic Production).</w:t>
            </w:r>
          </w:p>
          <w:p w:rsidR="00811791" w:rsidRPr="007549EF" w:rsidRDefault="00811791" w:rsidP="00811791">
            <w:pPr>
              <w:jc w:val="both"/>
              <w:rPr>
                <w:rFonts w:ascii="Arial" w:hAnsi="Arial" w:cs="Arial"/>
                <w:i/>
                <w:sz w:val="16"/>
                <w:szCs w:val="16"/>
                <w:lang w:val="en-GB"/>
              </w:rPr>
            </w:pPr>
            <w:r w:rsidRPr="007549EF">
              <w:rPr>
                <w:rFonts w:ascii="Arial" w:hAnsi="Arial" w:cs="Arial"/>
                <w:i/>
                <w:sz w:val="16"/>
                <w:szCs w:val="16"/>
                <w:lang w:val="en-GB"/>
              </w:rPr>
              <w:t>Practical instruction</w:t>
            </w:r>
          </w:p>
          <w:p w:rsidR="002E0342" w:rsidRPr="002E0342" w:rsidRDefault="002E0342" w:rsidP="002E0342">
            <w:pPr>
              <w:rPr>
                <w:sz w:val="18"/>
                <w:szCs w:val="18"/>
              </w:rPr>
            </w:pPr>
            <w:r w:rsidRPr="002E0342">
              <w:rPr>
                <w:sz w:val="18"/>
                <w:szCs w:val="18"/>
              </w:rPr>
              <w:t xml:space="preserve">Field exercises: </w:t>
            </w:r>
            <w:r>
              <w:rPr>
                <w:sz w:val="18"/>
                <w:szCs w:val="18"/>
              </w:rPr>
              <w:t>S</w:t>
            </w:r>
            <w:r w:rsidRPr="002E0342">
              <w:rPr>
                <w:sz w:val="18"/>
                <w:szCs w:val="18"/>
              </w:rPr>
              <w:t>etting up and maintenance of field trials, the importance of long-term stationary field trials. Assessment of the state of the balance of nutrients on the farm.</w:t>
            </w:r>
          </w:p>
          <w:p w:rsidR="002E0342" w:rsidRPr="002E0342" w:rsidRDefault="003D1F0D" w:rsidP="003D1F0D">
            <w:pPr>
              <w:rPr>
                <w:sz w:val="18"/>
                <w:szCs w:val="18"/>
              </w:rPr>
            </w:pPr>
            <w:r>
              <w:rPr>
                <w:sz w:val="18"/>
                <w:szCs w:val="18"/>
              </w:rPr>
              <w:t>Laboratory exercises</w:t>
            </w:r>
            <w:r w:rsidR="002E0342" w:rsidRPr="002E0342">
              <w:rPr>
                <w:sz w:val="18"/>
                <w:szCs w:val="18"/>
              </w:rPr>
              <w:t>: Determination of total</w:t>
            </w:r>
            <w:r w:rsidR="002E0342">
              <w:rPr>
                <w:sz w:val="18"/>
                <w:szCs w:val="18"/>
              </w:rPr>
              <w:t>,</w:t>
            </w:r>
            <w:r w:rsidR="002E0342" w:rsidRPr="002E0342">
              <w:rPr>
                <w:sz w:val="18"/>
                <w:szCs w:val="18"/>
              </w:rPr>
              <w:t xml:space="preserve"> </w:t>
            </w:r>
            <w:r w:rsidR="002E0342">
              <w:rPr>
                <w:sz w:val="18"/>
                <w:szCs w:val="18"/>
              </w:rPr>
              <w:t>available and</w:t>
            </w:r>
            <w:r w:rsidR="002E0342" w:rsidRPr="002E0342">
              <w:rPr>
                <w:sz w:val="18"/>
                <w:szCs w:val="18"/>
              </w:rPr>
              <w:t xml:space="preserve"> </w:t>
            </w:r>
            <w:r w:rsidR="002E0342">
              <w:rPr>
                <w:sz w:val="18"/>
                <w:szCs w:val="18"/>
              </w:rPr>
              <w:t xml:space="preserve">content of </w:t>
            </w:r>
            <w:r w:rsidR="002E0342" w:rsidRPr="002E0342">
              <w:rPr>
                <w:sz w:val="18"/>
                <w:szCs w:val="18"/>
              </w:rPr>
              <w:t>fractions of individual elements in soil and plant</w:t>
            </w:r>
            <w:r>
              <w:rPr>
                <w:sz w:val="18"/>
                <w:szCs w:val="18"/>
              </w:rPr>
              <w:t>.</w:t>
            </w:r>
            <w:r w:rsidR="002E0342" w:rsidRPr="002E0342">
              <w:rPr>
                <w:sz w:val="18"/>
                <w:szCs w:val="18"/>
              </w:rPr>
              <w:t xml:space="preserve"> </w:t>
            </w:r>
          </w:p>
        </w:tc>
      </w:tr>
      <w:tr w:rsidR="005E42D1" w:rsidTr="005E42D1">
        <w:tc>
          <w:tcPr>
            <w:tcW w:w="9622" w:type="dxa"/>
            <w:gridSpan w:val="13"/>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3D1F0D">
            <w:pPr>
              <w:rPr>
                <w:sz w:val="18"/>
                <w:szCs w:val="18"/>
              </w:rPr>
            </w:pPr>
            <w:r w:rsidRPr="005E42D1">
              <w:rPr>
                <w:rFonts w:ascii="Arial" w:hAnsi="Arial" w:cs="Arial"/>
                <w:sz w:val="16"/>
                <w:szCs w:val="16"/>
              </w:rPr>
              <w:t>Lectures, Practice/ Practical classes, Consultations</w:t>
            </w:r>
          </w:p>
        </w:tc>
      </w:tr>
      <w:tr w:rsidR="005E42D1" w:rsidTr="005E42D1">
        <w:tc>
          <w:tcPr>
            <w:tcW w:w="9622" w:type="dxa"/>
            <w:gridSpan w:val="13"/>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4"/>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4"/>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3D1F0D">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3D1F0D" w:rsidP="005E42D1">
            <w:pPr>
              <w:jc w:val="center"/>
              <w:rPr>
                <w:rFonts w:ascii="Arial" w:hAnsi="Arial" w:cs="Arial"/>
                <w:sz w:val="16"/>
                <w:szCs w:val="16"/>
              </w:rPr>
            </w:pPr>
            <w:r>
              <w:rPr>
                <w:rFonts w:ascii="Arial" w:hAnsi="Arial" w:cs="Arial"/>
                <w:sz w:val="16"/>
                <w:szCs w:val="16"/>
              </w:rPr>
              <w:t>10</w:t>
            </w:r>
          </w:p>
        </w:tc>
        <w:tc>
          <w:tcPr>
            <w:tcW w:w="2527" w:type="dxa"/>
            <w:gridSpan w:val="3"/>
            <w:shd w:val="clear" w:color="auto" w:fill="auto"/>
            <w:vAlign w:val="center"/>
          </w:tcPr>
          <w:p w:rsidR="005E42D1" w:rsidRPr="00D02E1F" w:rsidRDefault="00D02E1F" w:rsidP="006968EC">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3D1F0D" w:rsidP="005E42D1">
            <w:pPr>
              <w:jc w:val="center"/>
              <w:rPr>
                <w:rFonts w:ascii="Arial" w:hAnsi="Arial" w:cs="Arial"/>
                <w:sz w:val="16"/>
                <w:szCs w:val="16"/>
              </w:rPr>
            </w:pPr>
            <w:r>
              <w:rPr>
                <w:rFonts w:ascii="Arial" w:hAnsi="Arial" w:cs="Arial"/>
                <w:sz w:val="16"/>
                <w:szCs w:val="16"/>
              </w:rPr>
              <w:t>50</w:t>
            </w:r>
          </w:p>
        </w:tc>
      </w:tr>
      <w:tr w:rsidR="00D02E1F" w:rsidTr="00F07D88">
        <w:tc>
          <w:tcPr>
            <w:tcW w:w="2376" w:type="dxa"/>
            <w:gridSpan w:val="4"/>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6"/>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F07D88">
        <w:tc>
          <w:tcPr>
            <w:tcW w:w="2376" w:type="dxa"/>
            <w:gridSpan w:val="4"/>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3D1F0D">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3D1F0D" w:rsidP="005E42D1">
            <w:pPr>
              <w:jc w:val="center"/>
              <w:rPr>
                <w:rFonts w:ascii="Arial" w:hAnsi="Arial" w:cs="Arial"/>
                <w:sz w:val="16"/>
                <w:szCs w:val="16"/>
              </w:rPr>
            </w:pPr>
            <w:r>
              <w:rPr>
                <w:rFonts w:ascii="Arial" w:hAnsi="Arial" w:cs="Arial"/>
                <w:sz w:val="16"/>
                <w:szCs w:val="16"/>
              </w:rPr>
              <w:t>10</w:t>
            </w:r>
          </w:p>
        </w:tc>
        <w:tc>
          <w:tcPr>
            <w:tcW w:w="4811" w:type="dxa"/>
            <w:gridSpan w:val="6"/>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4"/>
            <w:tcBorders>
              <w:bottom w:val="single" w:sz="4" w:space="0" w:color="auto"/>
            </w:tcBorders>
            <w:shd w:val="clear" w:color="auto" w:fill="auto"/>
            <w:vAlign w:val="center"/>
          </w:tcPr>
          <w:p w:rsidR="00D02E1F" w:rsidRPr="003D1F0D" w:rsidRDefault="00D02E1F" w:rsidP="003D1F0D">
            <w:pPr>
              <w:rPr>
                <w:rFonts w:ascii="Arial" w:hAnsi="Arial" w:cs="Arial"/>
                <w:sz w:val="16"/>
                <w:szCs w:val="16"/>
              </w:rPr>
            </w:pPr>
            <w:r w:rsidRPr="003D1F0D">
              <w:rPr>
                <w:sz w:val="16"/>
                <w:szCs w:val="16"/>
              </w:rPr>
              <w:t>Term paper</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w:t>
            </w:r>
            <w:r w:rsidR="003D1F0D">
              <w:rPr>
                <w:rFonts w:ascii="Arial" w:hAnsi="Arial" w:cs="Arial"/>
                <w:sz w:val="16"/>
                <w:szCs w:val="16"/>
              </w:rPr>
              <w:t>s</w:t>
            </w:r>
          </w:p>
        </w:tc>
        <w:tc>
          <w:tcPr>
            <w:tcW w:w="1301" w:type="dxa"/>
            <w:gridSpan w:val="2"/>
            <w:tcBorders>
              <w:bottom w:val="single" w:sz="4" w:space="0" w:color="auto"/>
            </w:tcBorders>
            <w:shd w:val="clear" w:color="auto" w:fill="auto"/>
            <w:vAlign w:val="center"/>
          </w:tcPr>
          <w:p w:rsidR="00D02E1F" w:rsidRPr="005E42D1" w:rsidRDefault="003D1F0D" w:rsidP="005E42D1">
            <w:pPr>
              <w:jc w:val="center"/>
              <w:rPr>
                <w:rFonts w:ascii="Arial" w:hAnsi="Arial" w:cs="Arial"/>
                <w:sz w:val="16"/>
                <w:szCs w:val="16"/>
              </w:rPr>
            </w:pPr>
            <w:r>
              <w:rPr>
                <w:rFonts w:ascii="Arial" w:hAnsi="Arial" w:cs="Arial"/>
                <w:sz w:val="16"/>
                <w:szCs w:val="16"/>
              </w:rPr>
              <w:t>30</w:t>
            </w:r>
          </w:p>
        </w:tc>
        <w:tc>
          <w:tcPr>
            <w:tcW w:w="4811" w:type="dxa"/>
            <w:gridSpan w:val="6"/>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3"/>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EC588C">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560"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3969" w:type="dxa"/>
            <w:gridSpan w:val="6"/>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2268"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EC588C">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560" w:type="dxa"/>
            <w:gridSpan w:val="2"/>
            <w:vAlign w:val="center"/>
          </w:tcPr>
          <w:p w:rsidR="005E42D1" w:rsidRPr="00ED0534" w:rsidRDefault="00EC588C" w:rsidP="00ED0534">
            <w:pPr>
              <w:rPr>
                <w:rFonts w:ascii="Arial" w:hAnsi="Arial" w:cs="Arial"/>
                <w:sz w:val="14"/>
                <w:szCs w:val="18"/>
                <w:lang w:val="sr-Latn-CS"/>
              </w:rPr>
            </w:pPr>
            <w:r w:rsidRPr="00ED0534">
              <w:rPr>
                <w:sz w:val="14"/>
                <w:szCs w:val="18"/>
                <w:lang w:val="sr-Latn-CS"/>
              </w:rPr>
              <w:t>Kastori</w:t>
            </w:r>
            <w:r w:rsidR="003D1F0D" w:rsidRPr="00ED0534">
              <w:rPr>
                <w:sz w:val="14"/>
                <w:szCs w:val="18"/>
                <w:lang w:val="sr-Latn-CS"/>
              </w:rPr>
              <w:t xml:space="preserve"> </w:t>
            </w:r>
            <w:r w:rsidRPr="00ED0534">
              <w:rPr>
                <w:sz w:val="14"/>
                <w:szCs w:val="18"/>
                <w:lang w:val="sr-Latn-CS"/>
              </w:rPr>
              <w:t>R</w:t>
            </w:r>
            <w:r w:rsidR="003D1F0D" w:rsidRPr="00ED0534">
              <w:rPr>
                <w:sz w:val="14"/>
                <w:szCs w:val="18"/>
                <w:lang w:val="sr-Latn-CS"/>
              </w:rPr>
              <w:t>.</w:t>
            </w:r>
          </w:p>
        </w:tc>
        <w:tc>
          <w:tcPr>
            <w:tcW w:w="3969" w:type="dxa"/>
            <w:gridSpan w:val="6"/>
            <w:vAlign w:val="center"/>
          </w:tcPr>
          <w:p w:rsidR="005E42D1" w:rsidRPr="00ED0534" w:rsidRDefault="00EC588C" w:rsidP="00ED0534">
            <w:pPr>
              <w:rPr>
                <w:rFonts w:cstheme="minorHAnsi"/>
                <w:sz w:val="14"/>
                <w:szCs w:val="18"/>
                <w:lang w:val="sr-Latn-CS"/>
              </w:rPr>
            </w:pPr>
            <w:r w:rsidRPr="00ED0534">
              <w:rPr>
                <w:rFonts w:cstheme="minorHAnsi"/>
                <w:sz w:val="14"/>
                <w:szCs w:val="18"/>
                <w:lang w:val="sr-Latn-CS"/>
              </w:rPr>
              <w:t>Monografija</w:t>
            </w:r>
            <w:r w:rsidR="003D1F0D" w:rsidRPr="00ED0534">
              <w:rPr>
                <w:rFonts w:cstheme="minorHAnsi"/>
                <w:sz w:val="14"/>
                <w:szCs w:val="18"/>
                <w:lang w:val="sr-Latn-CS"/>
              </w:rPr>
              <w:t>. «</w:t>
            </w:r>
            <w:r w:rsidRPr="00ED0534">
              <w:rPr>
                <w:rFonts w:cstheme="minorHAnsi"/>
                <w:sz w:val="14"/>
                <w:szCs w:val="18"/>
                <w:lang w:val="sr-Latn-CS"/>
              </w:rPr>
              <w:t>Azot</w:t>
            </w:r>
            <w:r w:rsidR="003D1F0D" w:rsidRPr="00ED0534">
              <w:rPr>
                <w:rFonts w:cstheme="minorHAnsi"/>
                <w:sz w:val="14"/>
                <w:szCs w:val="18"/>
                <w:lang w:val="sr-Latn-CS"/>
              </w:rPr>
              <w:t xml:space="preserve"> </w:t>
            </w:r>
            <w:r w:rsidRPr="00ED0534">
              <w:rPr>
                <w:rFonts w:cstheme="minorHAnsi"/>
                <w:sz w:val="14"/>
                <w:szCs w:val="18"/>
                <w:lang w:val="sr-Latn-CS"/>
              </w:rPr>
              <w:t>agrohemijski</w:t>
            </w:r>
            <w:r w:rsidR="003D1F0D" w:rsidRPr="00ED0534">
              <w:rPr>
                <w:rFonts w:cstheme="minorHAnsi"/>
                <w:sz w:val="14"/>
                <w:szCs w:val="18"/>
                <w:lang w:val="sr-Latn-CS"/>
              </w:rPr>
              <w:t xml:space="preserve">, </w:t>
            </w:r>
            <w:r w:rsidRPr="00ED0534">
              <w:rPr>
                <w:rFonts w:cstheme="minorHAnsi"/>
                <w:sz w:val="14"/>
                <w:szCs w:val="18"/>
                <w:lang w:val="sr-Latn-CS"/>
              </w:rPr>
              <w:t>agrotehički</w:t>
            </w:r>
            <w:r w:rsidR="003D1F0D" w:rsidRPr="00ED0534">
              <w:rPr>
                <w:rFonts w:cstheme="minorHAnsi"/>
                <w:sz w:val="14"/>
                <w:szCs w:val="18"/>
                <w:lang w:val="sr-Latn-CS"/>
              </w:rPr>
              <w:t xml:space="preserve">, </w:t>
            </w:r>
            <w:r w:rsidRPr="00ED0534">
              <w:rPr>
                <w:rFonts w:cstheme="minorHAnsi"/>
                <w:sz w:val="14"/>
                <w:szCs w:val="18"/>
                <w:lang w:val="sr-Latn-CS"/>
              </w:rPr>
              <w:t>fiziološki</w:t>
            </w:r>
            <w:r w:rsidR="003D1F0D" w:rsidRPr="00ED0534">
              <w:rPr>
                <w:rFonts w:cstheme="minorHAnsi"/>
                <w:sz w:val="14"/>
                <w:szCs w:val="18"/>
                <w:lang w:val="sr-Latn-CS"/>
              </w:rPr>
              <w:t xml:space="preserve"> </w:t>
            </w:r>
            <w:r w:rsidRPr="00ED0534">
              <w:rPr>
                <w:rFonts w:cstheme="minorHAnsi"/>
                <w:sz w:val="14"/>
                <w:szCs w:val="18"/>
                <w:lang w:val="sr-Latn-CS"/>
              </w:rPr>
              <w:t>i</w:t>
            </w:r>
            <w:r w:rsidR="003D1F0D" w:rsidRPr="00ED0534">
              <w:rPr>
                <w:rFonts w:cstheme="minorHAnsi"/>
                <w:sz w:val="14"/>
                <w:szCs w:val="18"/>
                <w:lang w:val="sr-Latn-CS"/>
              </w:rPr>
              <w:t xml:space="preserve"> </w:t>
            </w:r>
            <w:r w:rsidRPr="00ED0534">
              <w:rPr>
                <w:rFonts w:cstheme="minorHAnsi"/>
                <w:sz w:val="14"/>
                <w:szCs w:val="18"/>
                <w:lang w:val="sr-Latn-CS"/>
              </w:rPr>
              <w:t>ekološki</w:t>
            </w:r>
            <w:r w:rsidR="003D1F0D" w:rsidRPr="00ED0534">
              <w:rPr>
                <w:rFonts w:cstheme="minorHAnsi"/>
                <w:sz w:val="14"/>
                <w:szCs w:val="18"/>
                <w:lang w:val="sr-Latn-CS"/>
              </w:rPr>
              <w:t xml:space="preserve"> </w:t>
            </w:r>
            <w:r w:rsidRPr="00ED0534">
              <w:rPr>
                <w:rFonts w:cstheme="minorHAnsi"/>
                <w:sz w:val="14"/>
                <w:szCs w:val="18"/>
                <w:lang w:val="sr-Latn-CS"/>
              </w:rPr>
              <w:t>aspekti</w:t>
            </w:r>
            <w:r w:rsidR="003D1F0D" w:rsidRPr="00ED0534">
              <w:rPr>
                <w:rFonts w:cstheme="minorHAnsi"/>
                <w:sz w:val="14"/>
                <w:szCs w:val="18"/>
                <w:lang w:val="sr-Latn-CS"/>
              </w:rPr>
              <w:t>.»</w:t>
            </w:r>
          </w:p>
        </w:tc>
        <w:tc>
          <w:tcPr>
            <w:tcW w:w="2268" w:type="dxa"/>
            <w:gridSpan w:val="3"/>
            <w:vAlign w:val="center"/>
          </w:tcPr>
          <w:p w:rsidR="005E42D1" w:rsidRPr="00ED0534" w:rsidRDefault="00EC588C" w:rsidP="00ED0534">
            <w:pPr>
              <w:rPr>
                <w:rFonts w:ascii="Arial" w:hAnsi="Arial" w:cs="Arial"/>
                <w:sz w:val="14"/>
                <w:szCs w:val="18"/>
                <w:lang w:val="sr-Latn-CS"/>
              </w:rPr>
            </w:pPr>
            <w:r w:rsidRPr="00ED0534">
              <w:rPr>
                <w:sz w:val="14"/>
                <w:szCs w:val="18"/>
                <w:lang w:val="sr-Latn-CS"/>
              </w:rPr>
              <w:t>Poljoprivredni</w:t>
            </w:r>
            <w:r w:rsidR="003D1F0D" w:rsidRPr="00ED0534">
              <w:rPr>
                <w:sz w:val="14"/>
                <w:szCs w:val="18"/>
                <w:lang w:val="sr-Latn-CS"/>
              </w:rPr>
              <w:t xml:space="preserve"> </w:t>
            </w:r>
            <w:r w:rsidRPr="00ED0534">
              <w:rPr>
                <w:sz w:val="14"/>
                <w:szCs w:val="18"/>
                <w:lang w:val="sr-Latn-CS"/>
              </w:rPr>
              <w:t>fakultet</w:t>
            </w:r>
            <w:r w:rsidR="003D1F0D" w:rsidRPr="00ED0534">
              <w:rPr>
                <w:sz w:val="14"/>
                <w:szCs w:val="18"/>
                <w:lang w:val="sr-Latn-CS"/>
              </w:rPr>
              <w:t xml:space="preserve">, </w:t>
            </w:r>
            <w:r w:rsidRPr="00ED0534">
              <w:rPr>
                <w:sz w:val="14"/>
                <w:szCs w:val="18"/>
                <w:lang w:val="sr-Latn-CS"/>
              </w:rPr>
              <w:t>Novi</w:t>
            </w:r>
            <w:r w:rsidR="003D1F0D" w:rsidRPr="00ED0534">
              <w:rPr>
                <w:sz w:val="14"/>
                <w:szCs w:val="18"/>
                <w:lang w:val="sr-Latn-CS"/>
              </w:rPr>
              <w:t xml:space="preserve"> </w:t>
            </w:r>
            <w:r w:rsidRPr="00ED0534">
              <w:rPr>
                <w:sz w:val="14"/>
                <w:szCs w:val="18"/>
                <w:lang w:val="sr-Latn-CS"/>
              </w:rPr>
              <w:t>Sad</w:t>
            </w:r>
            <w:r w:rsidR="003D1F0D" w:rsidRPr="00ED0534">
              <w:rPr>
                <w:sz w:val="14"/>
                <w:szCs w:val="18"/>
                <w:lang w:val="sr-Latn-CS"/>
              </w:rPr>
              <w:t>,</w:t>
            </w:r>
          </w:p>
        </w:tc>
        <w:tc>
          <w:tcPr>
            <w:tcW w:w="1150" w:type="dxa"/>
            <w:vAlign w:val="center"/>
          </w:tcPr>
          <w:p w:rsidR="005E42D1" w:rsidRPr="00ED0534" w:rsidRDefault="003D1F0D" w:rsidP="00D02E1F">
            <w:pPr>
              <w:jc w:val="center"/>
              <w:rPr>
                <w:rFonts w:cstheme="minorHAnsi"/>
                <w:sz w:val="14"/>
                <w:szCs w:val="18"/>
              </w:rPr>
            </w:pPr>
            <w:r w:rsidRPr="00ED0534">
              <w:rPr>
                <w:rFonts w:cstheme="minorHAnsi"/>
                <w:sz w:val="14"/>
                <w:szCs w:val="18"/>
              </w:rPr>
              <w:t>2005</w:t>
            </w:r>
          </w:p>
        </w:tc>
      </w:tr>
      <w:tr w:rsidR="00D02E1F" w:rsidTr="00EC588C">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560" w:type="dxa"/>
            <w:gridSpan w:val="2"/>
            <w:vAlign w:val="center"/>
          </w:tcPr>
          <w:p w:rsidR="00D02E1F" w:rsidRPr="00ED0534" w:rsidRDefault="006968EC" w:rsidP="00ED0534">
            <w:pPr>
              <w:rPr>
                <w:rFonts w:ascii="Arial" w:hAnsi="Arial" w:cs="Arial"/>
                <w:sz w:val="14"/>
                <w:szCs w:val="18"/>
              </w:rPr>
            </w:pPr>
            <w:proofErr w:type="spellStart"/>
            <w:r w:rsidRPr="00ED0534">
              <w:rPr>
                <w:bCs/>
                <w:sz w:val="14"/>
                <w:szCs w:val="18"/>
              </w:rPr>
              <w:t>Magdoff</w:t>
            </w:r>
            <w:proofErr w:type="spellEnd"/>
            <w:r w:rsidR="00ED0534" w:rsidRPr="00ED0534">
              <w:rPr>
                <w:bCs/>
                <w:sz w:val="14"/>
                <w:szCs w:val="18"/>
              </w:rPr>
              <w:t>,</w:t>
            </w:r>
            <w:r w:rsidRPr="00ED0534">
              <w:rPr>
                <w:bCs/>
                <w:sz w:val="14"/>
                <w:szCs w:val="18"/>
              </w:rPr>
              <w:t xml:space="preserve">  F.</w:t>
            </w:r>
            <w:r w:rsidR="00ED0534" w:rsidRPr="00ED0534">
              <w:rPr>
                <w:bCs/>
                <w:sz w:val="14"/>
                <w:szCs w:val="18"/>
              </w:rPr>
              <w:t xml:space="preserve">, </w:t>
            </w:r>
            <w:r w:rsidRPr="00ED0534">
              <w:rPr>
                <w:bCs/>
                <w:sz w:val="14"/>
                <w:szCs w:val="18"/>
              </w:rPr>
              <w:t xml:space="preserve"> Weil R.R.</w:t>
            </w:r>
          </w:p>
        </w:tc>
        <w:tc>
          <w:tcPr>
            <w:tcW w:w="3969" w:type="dxa"/>
            <w:gridSpan w:val="6"/>
            <w:vAlign w:val="center"/>
          </w:tcPr>
          <w:p w:rsidR="00D02E1F" w:rsidRPr="00ED0534" w:rsidRDefault="006968EC" w:rsidP="00ED0534">
            <w:pPr>
              <w:rPr>
                <w:rFonts w:ascii="Arial" w:hAnsi="Arial" w:cs="Arial"/>
                <w:sz w:val="14"/>
                <w:szCs w:val="18"/>
              </w:rPr>
            </w:pPr>
            <w:r w:rsidRPr="00ED0534">
              <w:rPr>
                <w:bCs/>
                <w:sz w:val="14"/>
                <w:szCs w:val="18"/>
              </w:rPr>
              <w:t>Soil Organic Matter in Sustainable Agriculture</w:t>
            </w:r>
          </w:p>
        </w:tc>
        <w:tc>
          <w:tcPr>
            <w:tcW w:w="2268" w:type="dxa"/>
            <w:gridSpan w:val="3"/>
            <w:vAlign w:val="center"/>
          </w:tcPr>
          <w:p w:rsidR="00D02E1F" w:rsidRPr="00ED0534" w:rsidRDefault="006968EC" w:rsidP="00ED0534">
            <w:pPr>
              <w:rPr>
                <w:rFonts w:ascii="Arial" w:hAnsi="Arial" w:cs="Arial"/>
                <w:sz w:val="14"/>
                <w:szCs w:val="18"/>
              </w:rPr>
            </w:pPr>
            <w:r w:rsidRPr="00ED0534">
              <w:rPr>
                <w:bCs/>
                <w:sz w:val="14"/>
                <w:szCs w:val="20"/>
              </w:rPr>
              <w:t>CRC Press, Florida</w:t>
            </w:r>
          </w:p>
        </w:tc>
        <w:tc>
          <w:tcPr>
            <w:tcW w:w="1150" w:type="dxa"/>
            <w:vAlign w:val="center"/>
          </w:tcPr>
          <w:p w:rsidR="00D02E1F" w:rsidRPr="00ED0534" w:rsidRDefault="006968EC" w:rsidP="00D02E1F">
            <w:pPr>
              <w:jc w:val="center"/>
              <w:rPr>
                <w:rFonts w:cstheme="minorHAnsi"/>
                <w:sz w:val="14"/>
                <w:szCs w:val="18"/>
              </w:rPr>
            </w:pPr>
            <w:r w:rsidRPr="00ED0534">
              <w:rPr>
                <w:rFonts w:cstheme="minorHAnsi"/>
                <w:sz w:val="14"/>
                <w:szCs w:val="18"/>
              </w:rPr>
              <w:t>2004</w:t>
            </w:r>
          </w:p>
        </w:tc>
      </w:tr>
      <w:tr w:rsidR="006968EC" w:rsidTr="00EC588C">
        <w:tc>
          <w:tcPr>
            <w:tcW w:w="675" w:type="dxa"/>
            <w:vAlign w:val="center"/>
          </w:tcPr>
          <w:p w:rsidR="006968EC" w:rsidRPr="00D02E1F" w:rsidRDefault="006968EC" w:rsidP="00D02E1F">
            <w:pPr>
              <w:pStyle w:val="ListParagraph"/>
              <w:numPr>
                <w:ilvl w:val="0"/>
                <w:numId w:val="4"/>
              </w:numPr>
              <w:jc w:val="center"/>
              <w:rPr>
                <w:rFonts w:ascii="Arial" w:hAnsi="Arial" w:cs="Arial"/>
                <w:sz w:val="16"/>
                <w:szCs w:val="16"/>
              </w:rPr>
            </w:pPr>
          </w:p>
        </w:tc>
        <w:tc>
          <w:tcPr>
            <w:tcW w:w="1560" w:type="dxa"/>
            <w:gridSpan w:val="2"/>
            <w:vAlign w:val="center"/>
          </w:tcPr>
          <w:p w:rsidR="006968EC" w:rsidRPr="00ED0534" w:rsidRDefault="006968EC" w:rsidP="00ED0534">
            <w:pPr>
              <w:rPr>
                <w:bCs/>
                <w:sz w:val="14"/>
                <w:szCs w:val="18"/>
              </w:rPr>
            </w:pPr>
            <w:r w:rsidRPr="00ED0534">
              <w:rPr>
                <w:bCs/>
                <w:sz w:val="14"/>
                <w:szCs w:val="18"/>
              </w:rPr>
              <w:t xml:space="preserve">De </w:t>
            </w:r>
            <w:proofErr w:type="spellStart"/>
            <w:r w:rsidRPr="00ED0534">
              <w:rPr>
                <w:bCs/>
                <w:sz w:val="14"/>
                <w:szCs w:val="18"/>
              </w:rPr>
              <w:t>Clercq</w:t>
            </w:r>
            <w:proofErr w:type="spellEnd"/>
            <w:r w:rsidR="00EC588C" w:rsidRPr="00ED0534">
              <w:rPr>
                <w:bCs/>
                <w:sz w:val="14"/>
                <w:szCs w:val="18"/>
              </w:rPr>
              <w:t xml:space="preserve"> P.</w:t>
            </w:r>
          </w:p>
        </w:tc>
        <w:tc>
          <w:tcPr>
            <w:tcW w:w="3969" w:type="dxa"/>
            <w:gridSpan w:val="6"/>
            <w:vAlign w:val="center"/>
          </w:tcPr>
          <w:p w:rsidR="006968EC" w:rsidRPr="00ED0534" w:rsidRDefault="006968EC" w:rsidP="00ED0534">
            <w:pPr>
              <w:rPr>
                <w:bCs/>
                <w:sz w:val="14"/>
                <w:szCs w:val="18"/>
              </w:rPr>
            </w:pPr>
            <w:r w:rsidRPr="00ED0534">
              <w:rPr>
                <w:bCs/>
                <w:sz w:val="14"/>
                <w:szCs w:val="18"/>
              </w:rPr>
              <w:t>Nutrient management legislation in European countries</w:t>
            </w:r>
          </w:p>
        </w:tc>
        <w:tc>
          <w:tcPr>
            <w:tcW w:w="2268" w:type="dxa"/>
            <w:gridSpan w:val="3"/>
            <w:vAlign w:val="center"/>
          </w:tcPr>
          <w:p w:rsidR="006968EC" w:rsidRPr="00ED0534" w:rsidRDefault="006968EC" w:rsidP="00ED0534">
            <w:pPr>
              <w:rPr>
                <w:bCs/>
                <w:sz w:val="14"/>
                <w:szCs w:val="20"/>
              </w:rPr>
            </w:pPr>
            <w:proofErr w:type="spellStart"/>
            <w:r w:rsidRPr="00ED0534">
              <w:rPr>
                <w:bCs/>
                <w:sz w:val="14"/>
                <w:szCs w:val="20"/>
              </w:rPr>
              <w:t>Wageningen</w:t>
            </w:r>
            <w:proofErr w:type="spellEnd"/>
            <w:r w:rsidRPr="00ED0534">
              <w:rPr>
                <w:bCs/>
                <w:sz w:val="14"/>
                <w:szCs w:val="20"/>
              </w:rPr>
              <w:t xml:space="preserve"> Pres, The Netherland</w:t>
            </w:r>
          </w:p>
        </w:tc>
        <w:tc>
          <w:tcPr>
            <w:tcW w:w="1150" w:type="dxa"/>
            <w:vAlign w:val="center"/>
          </w:tcPr>
          <w:p w:rsidR="006968EC" w:rsidRPr="00ED0534" w:rsidRDefault="006968EC" w:rsidP="00D02E1F">
            <w:pPr>
              <w:jc w:val="center"/>
              <w:rPr>
                <w:rFonts w:cstheme="minorHAnsi"/>
                <w:sz w:val="14"/>
                <w:szCs w:val="18"/>
              </w:rPr>
            </w:pPr>
            <w:r w:rsidRPr="00ED0534">
              <w:rPr>
                <w:rFonts w:cstheme="minorHAnsi"/>
                <w:sz w:val="14"/>
                <w:szCs w:val="18"/>
              </w:rPr>
              <w:t>2001</w:t>
            </w:r>
          </w:p>
        </w:tc>
      </w:tr>
      <w:tr w:rsidR="008C777B" w:rsidTr="00EC588C">
        <w:tc>
          <w:tcPr>
            <w:tcW w:w="675" w:type="dxa"/>
            <w:vAlign w:val="center"/>
          </w:tcPr>
          <w:p w:rsidR="008C777B" w:rsidRPr="00D02E1F" w:rsidRDefault="008C777B" w:rsidP="00D02E1F">
            <w:pPr>
              <w:pStyle w:val="ListParagraph"/>
              <w:numPr>
                <w:ilvl w:val="0"/>
                <w:numId w:val="4"/>
              </w:numPr>
              <w:jc w:val="center"/>
              <w:rPr>
                <w:rFonts w:ascii="Arial" w:hAnsi="Arial" w:cs="Arial"/>
                <w:sz w:val="16"/>
                <w:szCs w:val="16"/>
              </w:rPr>
            </w:pPr>
          </w:p>
        </w:tc>
        <w:tc>
          <w:tcPr>
            <w:tcW w:w="1560" w:type="dxa"/>
            <w:gridSpan w:val="2"/>
            <w:vAlign w:val="center"/>
          </w:tcPr>
          <w:p w:rsidR="008C777B" w:rsidRPr="008C777B" w:rsidRDefault="00ED0534" w:rsidP="00ED0534">
            <w:pPr>
              <w:rPr>
                <w:bCs/>
                <w:sz w:val="14"/>
                <w:szCs w:val="18"/>
              </w:rPr>
            </w:pPr>
            <w:proofErr w:type="spellStart"/>
            <w:r w:rsidRPr="00ED0534">
              <w:rPr>
                <w:bCs/>
                <w:sz w:val="14"/>
                <w:szCs w:val="18"/>
              </w:rPr>
              <w:t>Havlin</w:t>
            </w:r>
            <w:proofErr w:type="spellEnd"/>
            <w:r w:rsidRPr="00ED0534">
              <w:rPr>
                <w:bCs/>
                <w:sz w:val="14"/>
                <w:szCs w:val="18"/>
              </w:rPr>
              <w:t xml:space="preserve"> J.L.</w:t>
            </w:r>
          </w:p>
        </w:tc>
        <w:tc>
          <w:tcPr>
            <w:tcW w:w="3969" w:type="dxa"/>
            <w:gridSpan w:val="6"/>
            <w:vAlign w:val="center"/>
          </w:tcPr>
          <w:p w:rsidR="008C777B" w:rsidRPr="008C777B" w:rsidRDefault="00ED0534" w:rsidP="00ED0534">
            <w:pPr>
              <w:rPr>
                <w:bCs/>
                <w:sz w:val="14"/>
                <w:szCs w:val="18"/>
              </w:rPr>
            </w:pPr>
            <w:r w:rsidRPr="00ED0534">
              <w:rPr>
                <w:bCs/>
                <w:sz w:val="14"/>
                <w:szCs w:val="18"/>
              </w:rPr>
              <w:t>Soil fertility and fertilizers</w:t>
            </w:r>
          </w:p>
        </w:tc>
        <w:tc>
          <w:tcPr>
            <w:tcW w:w="2268" w:type="dxa"/>
            <w:gridSpan w:val="3"/>
            <w:vAlign w:val="center"/>
          </w:tcPr>
          <w:p w:rsidR="008C777B" w:rsidRPr="008C777B" w:rsidRDefault="00ED0534" w:rsidP="00ED0534">
            <w:pPr>
              <w:rPr>
                <w:bCs/>
                <w:sz w:val="14"/>
                <w:szCs w:val="20"/>
              </w:rPr>
            </w:pPr>
            <w:r w:rsidRPr="00ED0534">
              <w:rPr>
                <w:bCs/>
                <w:sz w:val="14"/>
                <w:szCs w:val="20"/>
              </w:rPr>
              <w:t>Pearson education, Inc. Upper Saddle River, New Jersey 07458</w:t>
            </w:r>
          </w:p>
        </w:tc>
        <w:tc>
          <w:tcPr>
            <w:tcW w:w="1150" w:type="dxa"/>
            <w:vAlign w:val="center"/>
          </w:tcPr>
          <w:p w:rsidR="008C777B" w:rsidRPr="008C777B" w:rsidRDefault="00ED0534" w:rsidP="00D02E1F">
            <w:pPr>
              <w:jc w:val="center"/>
              <w:rPr>
                <w:rFonts w:cstheme="minorHAnsi"/>
                <w:sz w:val="14"/>
                <w:szCs w:val="18"/>
              </w:rPr>
            </w:pPr>
            <w:r>
              <w:rPr>
                <w:rFonts w:cstheme="minorHAnsi"/>
                <w:sz w:val="14"/>
                <w:szCs w:val="18"/>
              </w:rPr>
              <w:t>2005</w:t>
            </w:r>
          </w:p>
        </w:tc>
      </w:tr>
      <w:tr w:rsidR="008C777B" w:rsidTr="00EC588C">
        <w:tc>
          <w:tcPr>
            <w:tcW w:w="675" w:type="dxa"/>
            <w:vAlign w:val="center"/>
          </w:tcPr>
          <w:p w:rsidR="008C777B" w:rsidRPr="00D02E1F" w:rsidRDefault="008C777B" w:rsidP="00D02E1F">
            <w:pPr>
              <w:pStyle w:val="ListParagraph"/>
              <w:numPr>
                <w:ilvl w:val="0"/>
                <w:numId w:val="4"/>
              </w:numPr>
              <w:jc w:val="center"/>
              <w:rPr>
                <w:rFonts w:ascii="Arial" w:hAnsi="Arial" w:cs="Arial"/>
                <w:sz w:val="16"/>
                <w:szCs w:val="16"/>
              </w:rPr>
            </w:pPr>
          </w:p>
        </w:tc>
        <w:tc>
          <w:tcPr>
            <w:tcW w:w="1560" w:type="dxa"/>
            <w:gridSpan w:val="2"/>
            <w:vAlign w:val="center"/>
          </w:tcPr>
          <w:p w:rsidR="008C777B" w:rsidRPr="008C777B" w:rsidRDefault="008C777B" w:rsidP="00ED0534">
            <w:pPr>
              <w:rPr>
                <w:bCs/>
                <w:sz w:val="14"/>
                <w:szCs w:val="18"/>
              </w:rPr>
            </w:pPr>
          </w:p>
        </w:tc>
        <w:tc>
          <w:tcPr>
            <w:tcW w:w="3969" w:type="dxa"/>
            <w:gridSpan w:val="6"/>
            <w:vAlign w:val="center"/>
          </w:tcPr>
          <w:p w:rsidR="008C777B" w:rsidRPr="008C777B" w:rsidRDefault="008C777B" w:rsidP="00ED0534">
            <w:pPr>
              <w:rPr>
                <w:bCs/>
                <w:sz w:val="14"/>
                <w:szCs w:val="18"/>
              </w:rPr>
            </w:pPr>
          </w:p>
        </w:tc>
        <w:tc>
          <w:tcPr>
            <w:tcW w:w="2268" w:type="dxa"/>
            <w:gridSpan w:val="3"/>
            <w:vAlign w:val="center"/>
          </w:tcPr>
          <w:p w:rsidR="008C777B" w:rsidRPr="008C777B" w:rsidRDefault="008C777B" w:rsidP="00ED0534">
            <w:pPr>
              <w:rPr>
                <w:bCs/>
                <w:sz w:val="14"/>
                <w:szCs w:val="20"/>
              </w:rPr>
            </w:pPr>
          </w:p>
        </w:tc>
        <w:tc>
          <w:tcPr>
            <w:tcW w:w="1150" w:type="dxa"/>
            <w:vAlign w:val="center"/>
          </w:tcPr>
          <w:p w:rsidR="008C777B" w:rsidRPr="008C777B" w:rsidRDefault="008C777B" w:rsidP="00D02E1F">
            <w:pPr>
              <w:jc w:val="center"/>
              <w:rPr>
                <w:rFonts w:cstheme="minorHAnsi"/>
                <w:sz w:val="14"/>
                <w:szCs w:val="18"/>
              </w:rPr>
            </w:pP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C656FD" w:rsidP="00CC2EA2">
            <w:pPr>
              <w:jc w:val="center"/>
              <w:rPr>
                <w:rFonts w:ascii="Arial" w:hAnsi="Arial" w:cs="Arial"/>
                <w:sz w:val="18"/>
                <w:szCs w:val="18"/>
              </w:rPr>
            </w:pPr>
            <w:r w:rsidRPr="001312B9">
              <w:rPr>
                <w:rFonts w:ascii="Arial" w:hAnsi="Arial" w:cs="Arial"/>
                <w:sz w:val="18"/>
                <w:szCs w:val="18"/>
              </w:rPr>
              <w:t>MASTER ACADEMIC STUDIES</w:t>
            </w:r>
            <w:r>
              <w:rPr>
                <w:rFonts w:ascii="Arial" w:hAnsi="Arial" w:cs="Arial"/>
                <w:sz w:val="18"/>
                <w:szCs w:val="18"/>
              </w:rPr>
              <w:t>:</w:t>
            </w:r>
            <w:r w:rsidRPr="001312B9">
              <w:rPr>
                <w:rFonts w:ascii="Arial" w:hAnsi="Arial" w:cs="Arial"/>
                <w:sz w:val="18"/>
                <w:szCs w:val="18"/>
              </w:rPr>
              <w:t xml:space="preserve"> </w:t>
            </w:r>
            <w:r w:rsidRPr="00166489">
              <w:rPr>
                <w:rFonts w:ascii="Arial" w:hAnsi="Arial" w:cs="Arial"/>
                <w:sz w:val="18"/>
                <w:szCs w:val="16"/>
              </w:rPr>
              <w:t>SOIL SCIENCE AND PLANT NUTRITION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590477" w:rsidRDefault="00590477">
      <w:r>
        <w:br w:type="page"/>
      </w:r>
    </w:p>
    <w:sectPr w:rsidR="00590477"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305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D4941"/>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C1779"/>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D617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A6E1A"/>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5771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755A6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3"/>
  </w:num>
  <w:num w:numId="5">
    <w:abstractNumId w:val="7"/>
  </w:num>
  <w:num w:numId="6">
    <w:abstractNumId w:val="2"/>
  </w:num>
  <w:num w:numId="7">
    <w:abstractNumId w:val="0"/>
  </w:num>
  <w:num w:numId="8">
    <w:abstractNumId w:val="1"/>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20"/>
  <w:characterSpacingControl w:val="doNotCompress"/>
  <w:compat/>
  <w:rsids>
    <w:rsidRoot w:val="00255EDE"/>
    <w:rsid w:val="00025B6B"/>
    <w:rsid w:val="00046013"/>
    <w:rsid w:val="00046F98"/>
    <w:rsid w:val="000509A3"/>
    <w:rsid w:val="0008374A"/>
    <w:rsid w:val="000B2FAD"/>
    <w:rsid w:val="000B7ADD"/>
    <w:rsid w:val="001312B9"/>
    <w:rsid w:val="00141425"/>
    <w:rsid w:val="001F34D7"/>
    <w:rsid w:val="002319BC"/>
    <w:rsid w:val="00255EDE"/>
    <w:rsid w:val="002611DF"/>
    <w:rsid w:val="002B5808"/>
    <w:rsid w:val="002C345B"/>
    <w:rsid w:val="002D51D0"/>
    <w:rsid w:val="002E0342"/>
    <w:rsid w:val="002E3BB3"/>
    <w:rsid w:val="00322F84"/>
    <w:rsid w:val="00366600"/>
    <w:rsid w:val="003972AD"/>
    <w:rsid w:val="003B66D6"/>
    <w:rsid w:val="003B6B29"/>
    <w:rsid w:val="003D0788"/>
    <w:rsid w:val="003D1F0D"/>
    <w:rsid w:val="00454701"/>
    <w:rsid w:val="004566F9"/>
    <w:rsid w:val="00465AFD"/>
    <w:rsid w:val="004666C8"/>
    <w:rsid w:val="004C1CC6"/>
    <w:rsid w:val="004F4EEB"/>
    <w:rsid w:val="00504263"/>
    <w:rsid w:val="00535E50"/>
    <w:rsid w:val="00590477"/>
    <w:rsid w:val="005E42D1"/>
    <w:rsid w:val="00637E4B"/>
    <w:rsid w:val="00673505"/>
    <w:rsid w:val="006968EC"/>
    <w:rsid w:val="006C2AA9"/>
    <w:rsid w:val="007326A7"/>
    <w:rsid w:val="007549EF"/>
    <w:rsid w:val="00782E46"/>
    <w:rsid w:val="007A6CB3"/>
    <w:rsid w:val="007A7CAB"/>
    <w:rsid w:val="007E7734"/>
    <w:rsid w:val="00811791"/>
    <w:rsid w:val="008C777B"/>
    <w:rsid w:val="00921E2D"/>
    <w:rsid w:val="00927F2D"/>
    <w:rsid w:val="009B28FB"/>
    <w:rsid w:val="009E2BF4"/>
    <w:rsid w:val="00A46379"/>
    <w:rsid w:val="00A51F5E"/>
    <w:rsid w:val="00AD602A"/>
    <w:rsid w:val="00AE67EE"/>
    <w:rsid w:val="00B10E3E"/>
    <w:rsid w:val="00B1770F"/>
    <w:rsid w:val="00B219CE"/>
    <w:rsid w:val="00B85BD2"/>
    <w:rsid w:val="00B925D6"/>
    <w:rsid w:val="00C21CE9"/>
    <w:rsid w:val="00C37B18"/>
    <w:rsid w:val="00C656FD"/>
    <w:rsid w:val="00C7280A"/>
    <w:rsid w:val="00CC0E96"/>
    <w:rsid w:val="00CC2EA2"/>
    <w:rsid w:val="00CC7AA9"/>
    <w:rsid w:val="00D02E1F"/>
    <w:rsid w:val="00D04465"/>
    <w:rsid w:val="00D245F7"/>
    <w:rsid w:val="00D33845"/>
    <w:rsid w:val="00D554D7"/>
    <w:rsid w:val="00D57E7D"/>
    <w:rsid w:val="00DA4BE2"/>
    <w:rsid w:val="00DF0ABC"/>
    <w:rsid w:val="00E273E0"/>
    <w:rsid w:val="00E349FB"/>
    <w:rsid w:val="00E672F8"/>
    <w:rsid w:val="00E93D40"/>
    <w:rsid w:val="00EC1F00"/>
    <w:rsid w:val="00EC588C"/>
    <w:rsid w:val="00ED0534"/>
    <w:rsid w:val="00EF1396"/>
    <w:rsid w:val="00F07D88"/>
    <w:rsid w:val="00F40190"/>
    <w:rsid w:val="00F62006"/>
    <w:rsid w:val="00F732F8"/>
    <w:rsid w:val="00F87FB0"/>
    <w:rsid w:val="00FE7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525606095">
      <w:bodyDiv w:val="1"/>
      <w:marLeft w:val="0"/>
      <w:marRight w:val="0"/>
      <w:marTop w:val="0"/>
      <w:marBottom w:val="0"/>
      <w:divBdr>
        <w:top w:val="none" w:sz="0" w:space="0" w:color="auto"/>
        <w:left w:val="none" w:sz="0" w:space="0" w:color="auto"/>
        <w:bottom w:val="none" w:sz="0" w:space="0" w:color="auto"/>
        <w:right w:val="none" w:sz="0" w:space="0" w:color="auto"/>
      </w:divBdr>
    </w:div>
    <w:div w:id="124826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3F1C-3F26-4791-8022-3CF5D949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ranko.cabilovski</cp:lastModifiedBy>
  <cp:revision>4</cp:revision>
  <dcterms:created xsi:type="dcterms:W3CDTF">2015-01-14T17:14:00Z</dcterms:created>
  <dcterms:modified xsi:type="dcterms:W3CDTF">2015-01-20T10:03:00Z</dcterms:modified>
</cp:coreProperties>
</file>