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446"/>
        <w:gridCol w:w="972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CB521C" w:rsidRDefault="00CB521C" w:rsidP="009E2B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52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Morphology and taxonomy of vascular </w:t>
            </w:r>
            <w:proofErr w:type="spellStart"/>
            <w:r w:rsidRPr="00CB521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macrophytes</w:t>
            </w:r>
            <w:proofErr w:type="spellEnd"/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CB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521C" w:rsidRPr="005D724E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3МГО1И11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CB52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24E" w:rsidRPr="005D724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5D724E" w:rsidRDefault="005D724E" w:rsidP="001312B9">
            <w:pPr>
              <w:rPr>
                <w:sz w:val="20"/>
                <w:szCs w:val="20"/>
              </w:rPr>
            </w:pPr>
            <w:r w:rsidRPr="005D724E">
              <w:rPr>
                <w:sz w:val="20"/>
                <w:szCs w:val="20"/>
              </w:rPr>
              <w:t xml:space="preserve">Dr Ljiljana Nikolić, </w:t>
            </w:r>
            <w:proofErr w:type="spellStart"/>
            <w:r w:rsidRPr="005D724E">
              <w:rPr>
                <w:sz w:val="20"/>
                <w:szCs w:val="20"/>
              </w:rPr>
              <w:t>dr</w:t>
            </w:r>
            <w:proofErr w:type="spellEnd"/>
            <w:r w:rsidRPr="005D724E">
              <w:rPr>
                <w:sz w:val="20"/>
                <w:szCs w:val="20"/>
              </w:rPr>
              <w:t xml:space="preserve"> Dejana </w:t>
            </w:r>
            <w:proofErr w:type="spellStart"/>
            <w:r w:rsidRPr="005D724E">
              <w:rPr>
                <w:sz w:val="20"/>
                <w:szCs w:val="20"/>
              </w:rPr>
              <w:t>Džigurski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5D724E" w:rsidRDefault="00AE67EE" w:rsidP="001312B9">
            <w:pPr>
              <w:rPr>
                <w:sz w:val="20"/>
                <w:szCs w:val="20"/>
              </w:rPr>
            </w:pPr>
            <w:r w:rsidRPr="005D724E">
              <w:rPr>
                <w:sz w:val="20"/>
                <w:szCs w:val="20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B2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C55" w:rsidRPr="00FB2C5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B2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C55" w:rsidRPr="00FB2C5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B2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C55" w:rsidRPr="00364C1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FB2C55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B2C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C55" w:rsidRPr="00364C19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 w:rsidRPr="00364C1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B2C55" w:rsidRPr="00364C1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364C19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16"/>
                <w:szCs w:val="16"/>
              </w:rPr>
            </w:pPr>
            <w:r w:rsidRPr="00364C19">
              <w:rPr>
                <w:rFonts w:ascii="Arial Narrow" w:hAnsi="Arial Narrow" w:cs="Arial"/>
                <w:sz w:val="16"/>
                <w:szCs w:val="16"/>
              </w:rPr>
              <w:t>Educational goal</w:t>
            </w:r>
          </w:p>
          <w:p w:rsidR="005E42D1" w:rsidRPr="00364C19" w:rsidRDefault="00364C19" w:rsidP="00364C19">
            <w:pPr>
              <w:jc w:val="both"/>
              <w:rPr>
                <w:rFonts w:ascii="Arial Narrow" w:hAnsi="Arial Narrow" w:cs="Arial"/>
              </w:rPr>
            </w:pPr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Acquiring knowledge about morphology, ontogeny, taxonomy - nomenclature of vascular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macrophytes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 with emphasis on the most important crop, vegetable, industrial, medicinal, aromatic, spicy, weeds and wild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taxa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>, as well as the practical significance diversity and biological resources</w:t>
            </w:r>
            <w:r w:rsidRPr="00364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364C19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16"/>
                <w:szCs w:val="16"/>
              </w:rPr>
            </w:pPr>
            <w:r w:rsidRPr="00364C19">
              <w:rPr>
                <w:rFonts w:ascii="Arial Narrow" w:hAnsi="Arial Narrow" w:cs="Arial"/>
                <w:sz w:val="16"/>
                <w:szCs w:val="16"/>
              </w:rPr>
              <w:t>Educational outcomes</w:t>
            </w:r>
          </w:p>
          <w:p w:rsidR="005E42D1" w:rsidRPr="00364C19" w:rsidRDefault="00364C19" w:rsidP="00364C19">
            <w:pPr>
              <w:rPr>
                <w:rFonts w:ascii="Arial Narrow" w:hAnsi="Arial Narrow" w:cs="Arial"/>
              </w:rPr>
            </w:pPr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Recognizing the importance of the inventory of vascular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macrophytes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>, as well as the importance of adequate scientific research between the protection of  conservation and use of biological resources, which contributes to a better understanding and more adequate application of knowledge in the field of botany in agronomical practices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364C19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16"/>
                <w:szCs w:val="16"/>
              </w:rPr>
            </w:pPr>
            <w:r w:rsidRPr="00364C19">
              <w:rPr>
                <w:rFonts w:ascii="Arial Narrow" w:hAnsi="Arial Narrow" w:cs="Arial"/>
                <w:sz w:val="16"/>
                <w:szCs w:val="16"/>
              </w:rPr>
              <w:t>Course content</w:t>
            </w:r>
          </w:p>
          <w:p w:rsidR="005E42D1" w:rsidRPr="00364C19" w:rsidRDefault="00364C19" w:rsidP="009E2BF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64C19">
              <w:rPr>
                <w:rFonts w:ascii="Arial Narrow" w:hAnsi="Arial Narrow" w:cs="Arial"/>
                <w:i/>
                <w:sz w:val="18"/>
                <w:szCs w:val="18"/>
              </w:rPr>
              <w:t>Lectures</w:t>
            </w:r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364C19" w:rsidRPr="00364C19" w:rsidRDefault="00364C19" w:rsidP="00364C19">
            <w:pPr>
              <w:rPr>
                <w:rFonts w:ascii="Arial Narrow" w:hAnsi="Arial Narrow" w:cs="Arial"/>
                <w:sz w:val="18"/>
                <w:szCs w:val="18"/>
              </w:rPr>
            </w:pPr>
            <w:r w:rsidRPr="00364C19">
              <w:rPr>
                <w:rFonts w:ascii="Arial Narrow" w:hAnsi="Arial Narrow" w:cs="Arial"/>
                <w:sz w:val="18"/>
                <w:szCs w:val="18"/>
              </w:rPr>
              <w:t>Introduction to the subject of study. Taxonomic characters of importance for the determination of plants. Life forms and classification plants. Taxonomic review -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Pinophyta</w:t>
            </w:r>
            <w:proofErr w:type="spellEnd"/>
            <w:r w:rsidRPr="00460D3F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60D3F">
              <w:rPr>
                <w:rFonts w:ascii="Arial Narrow" w:hAnsi="Arial Narrow" w:cs="Arial"/>
                <w:i/>
                <w:sz w:val="18"/>
                <w:szCs w:val="18"/>
              </w:rPr>
              <w:t>Magnoliophyta</w:t>
            </w:r>
            <w:proofErr w:type="spellEnd"/>
            <w:r w:rsidRPr="00460D3F">
              <w:rPr>
                <w:rFonts w:ascii="Arial Narrow" w:hAnsi="Arial Narrow" w:cs="Arial"/>
                <w:i/>
                <w:sz w:val="18"/>
                <w:szCs w:val="18"/>
              </w:rPr>
              <w:t xml:space="preserve"> - </w:t>
            </w:r>
            <w:proofErr w:type="spellStart"/>
            <w:r w:rsidRPr="00460D3F">
              <w:rPr>
                <w:rFonts w:ascii="Arial Narrow" w:hAnsi="Arial Narrow" w:cs="Arial"/>
                <w:i/>
                <w:sz w:val="18"/>
                <w:szCs w:val="18"/>
              </w:rPr>
              <w:t>Magnoliopsida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proofErr w:type="spellStart"/>
            <w:r w:rsidRPr="00460D3F">
              <w:rPr>
                <w:rFonts w:ascii="Arial Narrow" w:hAnsi="Arial Narrow" w:cs="Arial"/>
                <w:i/>
                <w:sz w:val="18"/>
                <w:szCs w:val="18"/>
              </w:rPr>
              <w:t>Liliopsida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Biodiverzitet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>, stability and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64C19">
              <w:rPr>
                <w:rFonts w:ascii="Arial Narrow" w:hAnsi="Arial Narrow" w:cs="Arial"/>
                <w:sz w:val="18"/>
                <w:szCs w:val="18"/>
              </w:rPr>
              <w:t>ecosystem functioning.</w:t>
            </w:r>
          </w:p>
          <w:p w:rsidR="00364C19" w:rsidRPr="00364C19" w:rsidRDefault="00364C19" w:rsidP="009E2BF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E42D1" w:rsidRPr="00364C19" w:rsidRDefault="00364C19" w:rsidP="009E2BF4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64C19">
              <w:rPr>
                <w:rFonts w:ascii="Arial Narrow" w:hAnsi="Arial Narrow" w:cs="Arial"/>
                <w:i/>
                <w:sz w:val="18"/>
                <w:szCs w:val="18"/>
              </w:rPr>
              <w:t>Practical classes:</w:t>
            </w:r>
          </w:p>
          <w:p w:rsidR="00364C19" w:rsidRPr="00364C19" w:rsidRDefault="00364C19" w:rsidP="00C67789">
            <w:pPr>
              <w:rPr>
                <w:rFonts w:ascii="Arial Narrow" w:hAnsi="Arial Narrow" w:cs="Arial"/>
              </w:rPr>
            </w:pPr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Getting to know the anatomy of plant organs, reproduction,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systematics</w:t>
            </w:r>
            <w:proofErr w:type="spellEnd"/>
            <w:r w:rsidR="00C67789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364C19">
              <w:rPr>
                <w:rFonts w:ascii="Arial Narrow" w:hAnsi="Arial Narrow" w:cs="Arial"/>
                <w:sz w:val="18"/>
                <w:szCs w:val="18"/>
              </w:rPr>
              <w:t>taxonomy</w:t>
            </w:r>
            <w:r w:rsidR="00C67789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 of vascular </w:t>
            </w:r>
            <w:proofErr w:type="spellStart"/>
            <w:r w:rsidRPr="00364C19">
              <w:rPr>
                <w:rFonts w:ascii="Arial Narrow" w:hAnsi="Arial Narrow" w:cs="Arial"/>
                <w:sz w:val="18"/>
                <w:szCs w:val="18"/>
              </w:rPr>
              <w:t>macrophytes</w:t>
            </w:r>
            <w:proofErr w:type="spellEnd"/>
            <w:r w:rsidRPr="00364C19">
              <w:rPr>
                <w:rFonts w:ascii="Arial Narrow" w:hAnsi="Arial Narrow" w:cs="Arial"/>
                <w:sz w:val="18"/>
                <w:szCs w:val="18"/>
              </w:rPr>
              <w:t xml:space="preserve"> as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64C19">
              <w:rPr>
                <w:rFonts w:ascii="Arial Narrow" w:hAnsi="Arial Narrow" w:cs="Arial"/>
                <w:sz w:val="18"/>
                <w:szCs w:val="18"/>
              </w:rPr>
              <w:t>the most economically important plants.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B3495A" w:rsidRDefault="005E42D1" w:rsidP="005D724E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B3495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E42D1" w:rsidRPr="00B3495A" w:rsidRDefault="00B3495A" w:rsidP="00B3495A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5D724E" w:rsidRPr="00B3495A">
              <w:rPr>
                <w:rFonts w:ascii="Arial" w:hAnsi="Arial" w:cs="Arial"/>
                <w:sz w:val="16"/>
                <w:szCs w:val="16"/>
              </w:rPr>
              <w:t xml:space="preserve"> Lectures, Practice</w:t>
            </w:r>
            <w:r w:rsidR="005E42D1" w:rsidRPr="00B3495A">
              <w:rPr>
                <w:rFonts w:ascii="Arial" w:hAnsi="Arial" w:cs="Arial"/>
                <w:sz w:val="16"/>
                <w:szCs w:val="16"/>
              </w:rPr>
              <w:t>, Consultations</w:t>
            </w:r>
            <w:r w:rsidR="005D724E" w:rsidRPr="00B34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3495A">
        <w:tc>
          <w:tcPr>
            <w:tcW w:w="253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3495A">
        <w:tc>
          <w:tcPr>
            <w:tcW w:w="253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E42D1" w:rsidRDefault="005E42D1" w:rsidP="005D724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D72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FB2C55" w:rsidRDefault="00D02E1F" w:rsidP="00FB2C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2C55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FB2C5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50</w:t>
            </w:r>
          </w:p>
        </w:tc>
      </w:tr>
      <w:tr w:rsidR="00D02E1F" w:rsidTr="00B3495A">
        <w:tc>
          <w:tcPr>
            <w:tcW w:w="253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02E1F" w:rsidRDefault="00D02E1F" w:rsidP="005D724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724E" w:rsidP="005D72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3495A">
        <w:tc>
          <w:tcPr>
            <w:tcW w:w="253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02E1F" w:rsidRDefault="00D02E1F" w:rsidP="005D724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724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FB2C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C55" w:rsidTr="00B3495A"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5D724E" w:rsidRDefault="00FB2C55" w:rsidP="00FB2C55">
            <w:pPr>
              <w:rPr>
                <w:rFonts w:ascii="Arial" w:hAnsi="Arial" w:cs="Arial"/>
                <w:sz w:val="16"/>
                <w:szCs w:val="16"/>
              </w:rPr>
            </w:pPr>
            <w:r w:rsidRPr="005D724E">
              <w:rPr>
                <w:sz w:val="16"/>
                <w:szCs w:val="16"/>
              </w:rPr>
              <w:t>Term paper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Default="00FB2C55" w:rsidP="00FB2C5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5E42D1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5E42D1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C55" w:rsidTr="00B3495A"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FB2C55" w:rsidRDefault="00FB2C55" w:rsidP="00FB2C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2C55">
              <w:rPr>
                <w:rFonts w:ascii="Arial" w:hAnsi="Arial" w:cs="Arial"/>
                <w:sz w:val="16"/>
                <w:szCs w:val="16"/>
                <w:highlight w:val="yellow"/>
              </w:rPr>
              <w:t>Colloquium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FB2C55" w:rsidRDefault="00FB2C55" w:rsidP="00FB2C55">
            <w:pPr>
              <w:jc w:val="center"/>
              <w:rPr>
                <w:highlight w:val="yellow"/>
              </w:rPr>
            </w:pPr>
            <w:r w:rsidRPr="00FB2C55">
              <w:rPr>
                <w:rFonts w:ascii="Arial" w:hAnsi="Arial" w:cs="Arial"/>
                <w:sz w:val="16"/>
                <w:szCs w:val="16"/>
                <w:highlight w:val="yellow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FB2C55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2C55">
              <w:rPr>
                <w:rFonts w:ascii="Arial" w:hAnsi="Arial" w:cs="Arial"/>
                <w:sz w:val="16"/>
                <w:szCs w:val="16"/>
                <w:highlight w:val="yellow"/>
              </w:rPr>
              <w:t>To 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C55" w:rsidRPr="005E42D1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C55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FB2C55" w:rsidTr="00B3495A">
        <w:tc>
          <w:tcPr>
            <w:tcW w:w="675" w:type="dxa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63" w:type="dxa"/>
            <w:gridSpan w:val="2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73" w:type="dxa"/>
            <w:gridSpan w:val="3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FB2C55" w:rsidRPr="00D02E1F" w:rsidRDefault="00FB2C55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FB2C55" w:rsidTr="00B3495A">
        <w:tc>
          <w:tcPr>
            <w:tcW w:w="675" w:type="dxa"/>
            <w:vAlign w:val="center"/>
          </w:tcPr>
          <w:p w:rsidR="00FB2C55" w:rsidRPr="00D02E1F" w:rsidRDefault="00FB2C55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B2C55" w:rsidRPr="00D02E1F" w:rsidRDefault="00B3495A" w:rsidP="00B349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Kojić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Pekić</w:t>
            </w:r>
            <w:r w:rsidRPr="00B349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Dajić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273" w:type="dxa"/>
            <w:gridSpan w:val="3"/>
            <w:vAlign w:val="center"/>
          </w:tcPr>
          <w:p w:rsidR="00FB2C55" w:rsidRPr="00D02E1F" w:rsidRDefault="00B3495A" w:rsidP="00B34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Botanika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FB2C55" w:rsidRPr="00D02E1F" w:rsidRDefault="00B3495A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Romanov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Banja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Luka</w:t>
            </w:r>
          </w:p>
        </w:tc>
        <w:tc>
          <w:tcPr>
            <w:tcW w:w="1150" w:type="dxa"/>
            <w:vAlign w:val="center"/>
          </w:tcPr>
          <w:p w:rsidR="00FB2C55" w:rsidRPr="00D02E1F" w:rsidRDefault="00B3495A" w:rsidP="00B34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FB2C55" w:rsidTr="00B3495A">
        <w:tc>
          <w:tcPr>
            <w:tcW w:w="675" w:type="dxa"/>
            <w:vAlign w:val="center"/>
          </w:tcPr>
          <w:p w:rsidR="00FB2C55" w:rsidRPr="00D02E1F" w:rsidRDefault="00FB2C55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B2C55" w:rsidRPr="00D02E1F" w:rsidRDefault="00B3495A" w:rsidP="00B34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Knežević</w:t>
            </w:r>
            <w:r w:rsidRPr="00B349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Stojanović</w:t>
            </w:r>
            <w:r w:rsidRPr="00B349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Lazić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34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3" w:type="dxa"/>
            <w:gridSpan w:val="3"/>
            <w:vAlign w:val="center"/>
          </w:tcPr>
          <w:p w:rsidR="00FB2C55" w:rsidRPr="00D02E1F" w:rsidRDefault="00B3495A" w:rsidP="00B34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Botanika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praktičnu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nastavu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FB2C55" w:rsidRPr="00D02E1F" w:rsidRDefault="00B3495A" w:rsidP="00B34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Novom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Yugo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štampa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Export-Import,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Čelarevo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FB2C55" w:rsidRPr="00D02E1F" w:rsidRDefault="00B3495A" w:rsidP="00B34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B3495A" w:rsidTr="00B3495A">
        <w:tc>
          <w:tcPr>
            <w:tcW w:w="675" w:type="dxa"/>
            <w:vAlign w:val="center"/>
          </w:tcPr>
          <w:p w:rsidR="00B3495A" w:rsidRPr="00D02E1F" w:rsidRDefault="00B3495A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3495A" w:rsidRPr="00D02E1F" w:rsidRDefault="00B3495A" w:rsidP="00B349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495A">
              <w:rPr>
                <w:rFonts w:ascii="Arial" w:hAnsi="Arial" w:cs="Arial"/>
                <w:sz w:val="16"/>
                <w:szCs w:val="16"/>
              </w:rPr>
              <w:t>Mauseth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>, J.D.</w:t>
            </w:r>
          </w:p>
        </w:tc>
        <w:tc>
          <w:tcPr>
            <w:tcW w:w="2273" w:type="dxa"/>
            <w:gridSpan w:val="3"/>
            <w:vAlign w:val="center"/>
          </w:tcPr>
          <w:p w:rsidR="00B3495A" w:rsidRPr="00D02E1F" w:rsidRDefault="00B3495A" w:rsidP="00B34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Botany - an introduction to plant biology.</w:t>
            </w:r>
          </w:p>
        </w:tc>
        <w:tc>
          <w:tcPr>
            <w:tcW w:w="3661" w:type="dxa"/>
            <w:gridSpan w:val="4"/>
            <w:vAlign w:val="center"/>
          </w:tcPr>
          <w:p w:rsidR="00B3495A" w:rsidRPr="00D02E1F" w:rsidRDefault="00B3495A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University of Texas, Austin, USA.</w:t>
            </w:r>
          </w:p>
        </w:tc>
        <w:tc>
          <w:tcPr>
            <w:tcW w:w="1150" w:type="dxa"/>
            <w:vAlign w:val="center"/>
          </w:tcPr>
          <w:p w:rsidR="00B3495A" w:rsidRPr="00D02E1F" w:rsidRDefault="00B3495A" w:rsidP="00B34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B3495A" w:rsidTr="00B3495A">
        <w:tc>
          <w:tcPr>
            <w:tcW w:w="675" w:type="dxa"/>
            <w:vAlign w:val="center"/>
          </w:tcPr>
          <w:p w:rsidR="00B3495A" w:rsidRPr="00D02E1F" w:rsidRDefault="00B3495A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3495A" w:rsidRPr="00D02E1F" w:rsidRDefault="00B3495A" w:rsidP="003D77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Tatić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B.,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Blečić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V.</w:t>
            </w:r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3"/>
            <w:vAlign w:val="center"/>
          </w:tcPr>
          <w:p w:rsidR="00B3495A" w:rsidRPr="00D02E1F" w:rsidRDefault="00B3495A" w:rsidP="00B34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Sistematika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filogenija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viših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3495A" w:rsidRPr="00D02E1F" w:rsidRDefault="00B3495A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Zavod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udžbenike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nastavna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  <w:r w:rsidRPr="00B349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1150" w:type="dxa"/>
            <w:vAlign w:val="center"/>
          </w:tcPr>
          <w:p w:rsidR="00B3495A" w:rsidRPr="00D02E1F" w:rsidRDefault="00B3495A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5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B3495A" w:rsidTr="00B3495A">
        <w:tc>
          <w:tcPr>
            <w:tcW w:w="675" w:type="dxa"/>
            <w:vAlign w:val="center"/>
          </w:tcPr>
          <w:p w:rsidR="00B3495A" w:rsidRPr="00D02E1F" w:rsidRDefault="00B3495A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B3495A" w:rsidRPr="00D02E1F" w:rsidRDefault="003D770B" w:rsidP="003D770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Tatić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Petković,B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77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3"/>
            <w:vAlign w:val="center"/>
          </w:tcPr>
          <w:p w:rsidR="00B3495A" w:rsidRPr="00D02E1F" w:rsidRDefault="003D770B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Morfologija</w:t>
            </w:r>
            <w:proofErr w:type="spellEnd"/>
            <w:r w:rsidRPr="003D7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biljaka</w:t>
            </w:r>
            <w:proofErr w:type="spellEnd"/>
            <w:r w:rsidRPr="003D77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61" w:type="dxa"/>
            <w:gridSpan w:val="4"/>
            <w:vAlign w:val="center"/>
          </w:tcPr>
          <w:p w:rsidR="00B3495A" w:rsidRPr="00D02E1F" w:rsidRDefault="003D770B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Naučna</w:t>
            </w:r>
            <w:proofErr w:type="spellEnd"/>
            <w:r w:rsidRPr="003D7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knjiga</w:t>
            </w:r>
            <w:proofErr w:type="spellEnd"/>
            <w:r w:rsidRPr="003D770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  <w:r w:rsidRPr="003D77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0" w:type="dxa"/>
            <w:vAlign w:val="center"/>
          </w:tcPr>
          <w:p w:rsidR="00B3495A" w:rsidRPr="00D02E1F" w:rsidRDefault="003D770B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770B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</w:tr>
      <w:tr w:rsidR="00364C19" w:rsidTr="00B3495A">
        <w:tc>
          <w:tcPr>
            <w:tcW w:w="675" w:type="dxa"/>
            <w:vAlign w:val="center"/>
          </w:tcPr>
          <w:p w:rsidR="00364C19" w:rsidRPr="00D02E1F" w:rsidRDefault="00364C19" w:rsidP="00B349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90549" w:rsidRPr="00992A8A" w:rsidRDefault="00390549" w:rsidP="003905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Stevanović</w:t>
            </w:r>
            <w:proofErr w:type="spellEnd"/>
            <w:r w:rsidR="00992A8A" w:rsidRPr="00992A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92A8A" w:rsidRPr="00992A8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Vasić</w:t>
            </w:r>
            <w:proofErr w:type="spellEnd"/>
            <w:r w:rsidR="00992A8A" w:rsidRPr="00992A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92A8A" w:rsidRPr="00992A8A">
              <w:rPr>
                <w:rFonts w:ascii="Arial" w:hAnsi="Arial" w:cs="Arial"/>
                <w:sz w:val="16"/>
                <w:szCs w:val="16"/>
              </w:rPr>
              <w:t>. Eds.</w:t>
            </w:r>
          </w:p>
          <w:p w:rsidR="00364C19" w:rsidRPr="00390549" w:rsidRDefault="00364C19" w:rsidP="00390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390549" w:rsidRPr="00992A8A" w:rsidRDefault="00390549" w:rsidP="003905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Biodiverzitet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Jugoslavije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pregledom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vrsta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</w:p>
          <w:p w:rsidR="00364C19" w:rsidRDefault="00390549" w:rsidP="003905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međunarodnog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značaja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364C19" w:rsidRDefault="00390549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Biološki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92A8A">
              <w:rPr>
                <w:rFonts w:ascii="Arial" w:hAnsi="Arial" w:cs="Arial"/>
                <w:sz w:val="16"/>
                <w:szCs w:val="16"/>
              </w:rPr>
              <w:t>colibri</w:t>
            </w:r>
            <w:proofErr w:type="spellEnd"/>
            <w:r w:rsidRPr="00992A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  <w:r w:rsidRPr="00992A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0" w:type="dxa"/>
            <w:vAlign w:val="center"/>
          </w:tcPr>
          <w:p w:rsidR="00364C19" w:rsidRPr="003D770B" w:rsidRDefault="00992A8A" w:rsidP="00FB2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A8A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FB2C55" w:rsidRDefault="001312B9" w:rsidP="00FB2C5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</w:t>
            </w:r>
            <w:r w:rsidR="00FB2C55" w:rsidRPr="00EB250D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Genetics, Plant Breeding and </w:t>
            </w:r>
            <w:r w:rsidR="00FB2C55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                </w:t>
            </w:r>
          </w:p>
          <w:p w:rsidR="001312B9" w:rsidRPr="001312B9" w:rsidRDefault="00FB2C55" w:rsidP="00FB2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                                                               </w:t>
            </w:r>
            <w:r w:rsidRPr="00EB250D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Seed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7765CE" w:rsidRPr="00DD3F8A" w:rsidRDefault="007765CE" w:rsidP="007765CE">
      <w:pPr>
        <w:rPr>
          <w:bCs/>
          <w:lang w:val="ru-RU"/>
        </w:rPr>
      </w:pPr>
      <w:r w:rsidRPr="00F31D76">
        <w:rPr>
          <w:b/>
          <w:bCs/>
          <w:lang w:val="sr-Cyrl-CS"/>
        </w:rPr>
        <w:t>Табела 5.</w:t>
      </w:r>
      <w:r>
        <w:rPr>
          <w:b/>
          <w:bCs/>
        </w:rPr>
        <w:t>2</w:t>
      </w:r>
      <w:r w:rsidRPr="00F31D76">
        <w:rPr>
          <w:b/>
          <w:bCs/>
          <w:lang w:val="sr-Cyrl-CS"/>
        </w:rPr>
        <w:t xml:space="preserve"> </w:t>
      </w:r>
      <w:r w:rsidRPr="00F31D76">
        <w:rPr>
          <w:bCs/>
          <w:lang w:val="sr-Cyrl-CS"/>
        </w:rPr>
        <w:t>Спецификација</w:t>
      </w:r>
      <w:r w:rsidRPr="00F31D76">
        <w:rPr>
          <w:bCs/>
        </w:rPr>
        <w:t xml:space="preserve"> </w:t>
      </w:r>
      <w:r w:rsidRPr="00F31D76">
        <w:rPr>
          <w:bCs/>
          <w:lang w:val="sr-Cyrl-CS"/>
        </w:rPr>
        <w:t xml:space="preserve"> предмета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1051"/>
        <w:gridCol w:w="773"/>
        <w:gridCol w:w="1798"/>
        <w:gridCol w:w="81"/>
        <w:gridCol w:w="3019"/>
        <w:gridCol w:w="176"/>
        <w:gridCol w:w="1216"/>
      </w:tblGrid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lastRenderedPageBreak/>
              <w:t>Студијски програм</w:t>
            </w:r>
            <w:r w:rsidRPr="007765CE">
              <w:rPr>
                <w:bCs/>
                <w:sz w:val="18"/>
                <w:szCs w:val="18"/>
                <w:lang w:val="ru-RU"/>
              </w:rPr>
              <w:t>/студијски програми</w:t>
            </w:r>
            <w:r w:rsidRPr="007765CE">
              <w:rPr>
                <w:bCs/>
                <w:sz w:val="18"/>
                <w:szCs w:val="18"/>
              </w:rPr>
              <w:t xml:space="preserve">: </w:t>
            </w: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ГЕНЕТИКА, ОПЛЕМЕЊИВАЊЕ БИЉАКА И     </w:t>
            </w:r>
          </w:p>
          <w:p w:rsidR="007765CE" w:rsidRPr="007765CE" w:rsidRDefault="007765CE" w:rsidP="007765CE">
            <w:pPr>
              <w:spacing w:after="0" w:line="240" w:lineRule="auto"/>
              <w:jc w:val="both"/>
              <w:rPr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                                                                           СЕМЕНАРСТВО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 xml:space="preserve">Врста </w:t>
            </w:r>
            <w:r w:rsidRPr="007765CE">
              <w:rPr>
                <w:sz w:val="18"/>
                <w:szCs w:val="18"/>
                <w:lang w:val="ru-RU"/>
              </w:rPr>
              <w:t xml:space="preserve">и ниво студија: </w:t>
            </w:r>
            <w:r w:rsidRPr="007765CE">
              <w:rPr>
                <w:b/>
                <w:bCs/>
                <w:sz w:val="18"/>
                <w:szCs w:val="18"/>
                <w:lang w:val="sr-Cyrl-CS"/>
              </w:rPr>
              <w:t>Дипломске академске студије - мастер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Назив предмета: </w:t>
            </w:r>
            <w:r w:rsidRPr="007765CE">
              <w:rPr>
                <w:bCs/>
                <w:sz w:val="18"/>
                <w:szCs w:val="18"/>
                <w:lang w:val="sr-Cyrl-CS"/>
              </w:rPr>
              <w:t>Морфологија и таксономија васкуларних макрофита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Наставник: </w:t>
            </w:r>
            <w:r w:rsidRPr="007765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765CE">
              <w:rPr>
                <w:bCs/>
                <w:sz w:val="18"/>
                <w:szCs w:val="18"/>
                <w:lang w:val="ru-RU"/>
              </w:rPr>
              <w:t>Љиљана М. Николић, Дејана М. Џигурски</w:t>
            </w:r>
            <w:r w:rsidRPr="007765CE">
              <w:rPr>
                <w:bCs/>
                <w:sz w:val="18"/>
                <w:szCs w:val="18"/>
              </w:rPr>
              <w:t xml:space="preserve"> </w:t>
            </w:r>
          </w:p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7765CE">
              <w:rPr>
                <w:b/>
                <w:bCs/>
                <w:sz w:val="18"/>
                <w:szCs w:val="18"/>
              </w:rPr>
              <w:t>Сарадник</w:t>
            </w:r>
            <w:proofErr w:type="spellEnd"/>
            <w:r w:rsidRPr="007765CE">
              <w:rPr>
                <w:b/>
                <w:bCs/>
                <w:sz w:val="18"/>
                <w:szCs w:val="18"/>
                <w:lang w:val="sr-Cyrl-CS"/>
              </w:rPr>
              <w:t>:</w:t>
            </w:r>
            <w:r w:rsidRPr="007765CE">
              <w:rPr>
                <w:b/>
                <w:bCs/>
                <w:sz w:val="18"/>
                <w:szCs w:val="18"/>
              </w:rPr>
              <w:t xml:space="preserve"> </w:t>
            </w: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765CE">
              <w:rPr>
                <w:bCs/>
                <w:sz w:val="18"/>
                <w:szCs w:val="18"/>
                <w:lang w:val="ru-RU"/>
              </w:rPr>
              <w:t>Љиљана М. Николић, Дејана М. Џигурски</w:t>
            </w:r>
            <w:r w:rsidRPr="007765C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t>Статус предмета: изборни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t>Број ЕСПБ</w:t>
            </w:r>
            <w:r w:rsidRPr="007765CE">
              <w:rPr>
                <w:bCs/>
                <w:sz w:val="18"/>
                <w:szCs w:val="18"/>
              </w:rPr>
              <w:t>:</w:t>
            </w:r>
            <w:r w:rsidRPr="007765CE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7765CE">
              <w:rPr>
                <w:b/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t>Услов</w:t>
            </w:r>
            <w:r w:rsidRPr="007765CE">
              <w:rPr>
                <w:bCs/>
                <w:sz w:val="18"/>
                <w:szCs w:val="18"/>
              </w:rPr>
              <w:t>:</w:t>
            </w:r>
            <w:r w:rsidRPr="007765CE">
              <w:rPr>
                <w:bCs/>
                <w:sz w:val="18"/>
                <w:szCs w:val="18"/>
                <w:lang w:val="sr-Cyrl-CS"/>
              </w:rPr>
              <w:t xml:space="preserve"> -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Циљ предмета</w:t>
            </w:r>
          </w:p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t xml:space="preserve">Стицање знања о морфологији, онтогенији, таксономији – номенклатури васкуларних макрофита са акцентом на најзначајније ратарске, повртарске, индустријске, лековите, ароматичне, зачинске, коровске и шумске таксоне, као и о практичном значају диверзитета и биолошких ресурса. 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Исход предмета </w:t>
            </w:r>
          </w:p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sr-Cyrl-CS"/>
              </w:rPr>
              <w:t xml:space="preserve">Сагледавање значаја инвентаризације васкуларних макрофита, као и значаја адекватних научних истраживања између заштите биодиверзитета и коришћења биолошких ресурса, што доприноси бољем разумевању и адекватнијој примени знања из области ботанике у агрономској пракси.  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Садржај предмета</w:t>
            </w:r>
          </w:p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7765CE" w:rsidRPr="007765CE" w:rsidRDefault="007765CE" w:rsidP="007765CE">
            <w:pPr>
              <w:spacing w:after="0" w:line="240" w:lineRule="auto"/>
              <w:rPr>
                <w:iCs/>
                <w:sz w:val="18"/>
                <w:szCs w:val="18"/>
                <w:lang w:val="sr-Cyrl-CS"/>
              </w:rPr>
            </w:pPr>
            <w:r w:rsidRPr="007765CE">
              <w:rPr>
                <w:iCs/>
                <w:sz w:val="18"/>
                <w:szCs w:val="18"/>
                <w:lang w:val="sr-Cyrl-CS"/>
              </w:rPr>
              <w:t>Увод у предмет проучавања. Таксономски карактери од значаја за</w:t>
            </w:r>
            <w:r w:rsidR="00B229E8">
              <w:rPr>
                <w:iCs/>
                <w:sz w:val="18"/>
                <w:szCs w:val="18"/>
                <w:lang w:val="sr-Cyrl-CS"/>
              </w:rPr>
              <w:t xml:space="preserve"> </w:t>
            </w:r>
            <w:r w:rsidRPr="007765CE">
              <w:rPr>
                <w:iCs/>
                <w:sz w:val="18"/>
                <w:szCs w:val="18"/>
                <w:lang w:val="sr-Cyrl-CS"/>
              </w:rPr>
              <w:t>детерминацију биљака. Животне форме и класификација биљака. Таксономски преглед –</w:t>
            </w:r>
            <w:r w:rsidRPr="007765CE">
              <w:rPr>
                <w:i/>
                <w:iCs/>
                <w:sz w:val="18"/>
                <w:szCs w:val="18"/>
                <w:lang w:val="sr-Latn-CS"/>
              </w:rPr>
              <w:t>Pinophyta</w:t>
            </w:r>
            <w:r w:rsidRPr="007765CE">
              <w:rPr>
                <w:iCs/>
                <w:sz w:val="18"/>
                <w:szCs w:val="18"/>
                <w:lang w:val="sr-Cyrl-CS"/>
              </w:rPr>
              <w:t>,</w:t>
            </w:r>
            <w:r w:rsidRPr="007765CE">
              <w:rPr>
                <w:iCs/>
                <w:sz w:val="18"/>
                <w:szCs w:val="18"/>
                <w:lang w:val="sr-Latn-CS"/>
              </w:rPr>
              <w:t xml:space="preserve"> </w:t>
            </w:r>
            <w:r w:rsidRPr="007765CE">
              <w:rPr>
                <w:i/>
                <w:iCs/>
                <w:sz w:val="18"/>
                <w:szCs w:val="18"/>
                <w:lang w:val="sr-Latn-CS"/>
              </w:rPr>
              <w:t xml:space="preserve">Magnoliophyta – Magnoliopsida </w:t>
            </w:r>
            <w:r w:rsidRPr="007765CE">
              <w:rPr>
                <w:iCs/>
                <w:sz w:val="18"/>
                <w:szCs w:val="18"/>
                <w:lang w:val="sr-Cyrl-CS"/>
              </w:rPr>
              <w:t xml:space="preserve">и </w:t>
            </w:r>
            <w:r w:rsidRPr="007765CE">
              <w:rPr>
                <w:i/>
                <w:iCs/>
                <w:sz w:val="18"/>
                <w:szCs w:val="18"/>
                <w:lang w:val="sr-Latn-CS"/>
              </w:rPr>
              <w:t>Liliopsida.</w:t>
            </w:r>
            <w:r w:rsidRPr="007765CE">
              <w:rPr>
                <w:iCs/>
                <w:sz w:val="18"/>
                <w:szCs w:val="18"/>
                <w:lang w:val="sr-Cyrl-CS"/>
              </w:rPr>
              <w:t xml:space="preserve">Биодиверзитет, стабилност и функционисање екосистема.  </w:t>
            </w:r>
          </w:p>
          <w:p w:rsidR="007765CE" w:rsidRPr="007765CE" w:rsidRDefault="007765CE" w:rsidP="007765CE">
            <w:pPr>
              <w:spacing w:after="0" w:line="240" w:lineRule="auto"/>
              <w:rPr>
                <w:bCs/>
                <w:i/>
                <w:sz w:val="18"/>
                <w:szCs w:val="18"/>
                <w:lang w:val="ru-RU"/>
              </w:rPr>
            </w:pPr>
            <w:r w:rsidRPr="007765CE">
              <w:rPr>
                <w:i/>
                <w:iCs/>
                <w:sz w:val="18"/>
                <w:szCs w:val="18"/>
                <w:lang w:val="sr-Cyrl-CS"/>
              </w:rPr>
              <w:t>Практична настава</w:t>
            </w:r>
            <w:r w:rsidRPr="007765CE">
              <w:rPr>
                <w:i/>
                <w:iCs/>
                <w:sz w:val="18"/>
                <w:szCs w:val="18"/>
                <w:lang w:val="ru-RU"/>
              </w:rPr>
              <w:t>:</w:t>
            </w:r>
            <w:r w:rsidRPr="007765CE">
              <w:rPr>
                <w:bCs/>
                <w:i/>
                <w:sz w:val="18"/>
                <w:szCs w:val="18"/>
                <w:lang w:val="ru-RU"/>
              </w:rPr>
              <w:t>Вежбе, Други облици наставе, Студијски истраживачки рад</w:t>
            </w:r>
          </w:p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Latn-CS"/>
              </w:rPr>
            </w:pPr>
            <w:r w:rsidRPr="007765CE">
              <w:rPr>
                <w:bCs/>
                <w:sz w:val="18"/>
                <w:szCs w:val="18"/>
                <w:lang w:val="ru-RU"/>
              </w:rPr>
              <w:t xml:space="preserve">Упознавање са анатомијом биљних органа, начинима размножавања, систематиком-таксономијом васкуларних макрофита као економски најзначајнијих биљака. 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Литература </w:t>
            </w:r>
          </w:p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</w:rPr>
              <w:t>1.</w:t>
            </w:r>
            <w:r w:rsidRPr="007765CE">
              <w:rPr>
                <w:bCs/>
                <w:sz w:val="18"/>
                <w:szCs w:val="18"/>
                <w:lang w:val="sr-Cyrl-CS"/>
              </w:rPr>
              <w:t xml:space="preserve">Којић, </w:t>
            </w:r>
            <w:proofErr w:type="gramStart"/>
            <w:r w:rsidRPr="007765CE">
              <w:rPr>
                <w:bCs/>
                <w:sz w:val="18"/>
                <w:szCs w:val="18"/>
                <w:lang w:val="sr-Cyrl-CS"/>
              </w:rPr>
              <w:t>М.,</w:t>
            </w:r>
            <w:proofErr w:type="gramEnd"/>
            <w:r w:rsidRPr="007765CE">
              <w:rPr>
                <w:bCs/>
                <w:sz w:val="18"/>
                <w:szCs w:val="18"/>
                <w:lang w:val="sr-Cyrl-CS"/>
              </w:rPr>
              <w:t xml:space="preserve"> Пекић, С., Дајић, З. (2003): Ботаника. Романов, Бања Лука.</w:t>
            </w:r>
            <w:r w:rsidRPr="007765CE">
              <w:rPr>
                <w:b/>
                <w:bCs/>
                <w:sz w:val="18"/>
                <w:szCs w:val="18"/>
                <w:lang w:val="sr-Cyrl-CS"/>
              </w:rPr>
              <w:tab/>
            </w:r>
          </w:p>
          <w:p w:rsidR="007765CE" w:rsidRPr="007765CE" w:rsidRDefault="007765CE" w:rsidP="007765CE">
            <w:pPr>
              <w:tabs>
                <w:tab w:val="left" w:pos="6663"/>
              </w:tabs>
              <w:spacing w:after="0" w:line="240" w:lineRule="auto"/>
              <w:rPr>
                <w:sz w:val="18"/>
                <w:szCs w:val="18"/>
              </w:rPr>
            </w:pPr>
            <w:r w:rsidRPr="007765CE">
              <w:rPr>
                <w:sz w:val="18"/>
                <w:szCs w:val="18"/>
                <w:lang w:val="sr-Cyrl-CS"/>
              </w:rPr>
              <w:t>2</w:t>
            </w:r>
            <w:r w:rsidRPr="007765CE">
              <w:rPr>
                <w:sz w:val="18"/>
                <w:szCs w:val="18"/>
              </w:rPr>
              <w:t>.</w:t>
            </w:r>
            <w:r w:rsidRPr="007765CE">
              <w:rPr>
                <w:sz w:val="18"/>
                <w:szCs w:val="18"/>
                <w:lang w:val="sr-Cyrl-CS"/>
              </w:rPr>
              <w:t xml:space="preserve">Кнежевић, А., Стојановић, С., Лазић, Д. (2007): Ботаника – уџбеник за практичну наставу, </w:t>
            </w:r>
            <w:r w:rsidRPr="007765CE">
              <w:rPr>
                <w:sz w:val="18"/>
                <w:szCs w:val="18"/>
              </w:rPr>
              <w:t xml:space="preserve"> </w:t>
            </w:r>
          </w:p>
          <w:p w:rsidR="007765CE" w:rsidRPr="007765CE" w:rsidRDefault="007765CE" w:rsidP="007765CE">
            <w:pPr>
              <w:tabs>
                <w:tab w:val="left" w:pos="6663"/>
              </w:tabs>
              <w:spacing w:after="0" w:line="240" w:lineRule="auto"/>
              <w:rPr>
                <w:sz w:val="18"/>
                <w:szCs w:val="18"/>
                <w:lang w:val="sl-SI"/>
              </w:rPr>
            </w:pPr>
            <w:r w:rsidRPr="007765CE">
              <w:rPr>
                <w:sz w:val="18"/>
                <w:szCs w:val="18"/>
              </w:rPr>
              <w:t xml:space="preserve">   </w:t>
            </w:r>
            <w:r w:rsidRPr="007765CE">
              <w:rPr>
                <w:sz w:val="18"/>
                <w:szCs w:val="18"/>
                <w:lang w:val="sr-Cyrl-CS"/>
              </w:rPr>
              <w:t>Универзитет у Новом Саду, Пољопривредни факултет у Новом Саду, 1 – 306.</w:t>
            </w:r>
            <w:r w:rsidRPr="007765CE">
              <w:rPr>
                <w:sz w:val="18"/>
                <w:szCs w:val="18"/>
                <w:lang w:val="sl-SI"/>
              </w:rPr>
              <w:t xml:space="preserve"> . </w:t>
            </w:r>
          </w:p>
          <w:p w:rsidR="007765CE" w:rsidRPr="007765CE" w:rsidRDefault="007765CE" w:rsidP="007765CE">
            <w:pPr>
              <w:tabs>
                <w:tab w:val="left" w:pos="6663"/>
              </w:tabs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 xml:space="preserve">3. Стевановић, В., Васић, В. </w:t>
            </w:r>
            <w:r w:rsidRPr="007765CE">
              <w:rPr>
                <w:sz w:val="18"/>
                <w:szCs w:val="18"/>
              </w:rPr>
              <w:t xml:space="preserve">Eds. </w:t>
            </w:r>
            <w:r w:rsidRPr="007765CE">
              <w:rPr>
                <w:sz w:val="18"/>
                <w:szCs w:val="18"/>
                <w:lang w:val="sr-Cyrl-CS"/>
              </w:rPr>
              <w:t xml:space="preserve">(1995): Биодиверзитет Југославије са прегледом врста од  </w:t>
            </w:r>
          </w:p>
          <w:p w:rsidR="007765CE" w:rsidRPr="007765CE" w:rsidRDefault="007765CE" w:rsidP="007765CE">
            <w:pPr>
              <w:tabs>
                <w:tab w:val="left" w:pos="6663"/>
              </w:tabs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 xml:space="preserve">    међународног значаја – Биолошки факултет и Еcolibri, Београд.</w:t>
            </w:r>
          </w:p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 xml:space="preserve">4. </w:t>
            </w:r>
            <w:r w:rsidRPr="007765CE">
              <w:rPr>
                <w:sz w:val="18"/>
                <w:szCs w:val="18"/>
                <w:lang w:val="sl-SI"/>
              </w:rPr>
              <w:t xml:space="preserve"> Mauseth, J.D.(2003): Botany - an introduction to plant biology. University of Texas, Austin, USA.</w:t>
            </w:r>
          </w:p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5. Татић. Б., Блечић, В.(2002):Систематика и филогенија виших биљака. Завод за уджбенике и наставна средства, Београд.</w:t>
            </w:r>
          </w:p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Latn-CS"/>
              </w:rPr>
            </w:pPr>
            <w:r w:rsidRPr="007765CE">
              <w:rPr>
                <w:sz w:val="18"/>
                <w:szCs w:val="18"/>
                <w:lang w:val="sr-Cyrl-CS"/>
              </w:rPr>
              <w:t>6. Татић, Б., Петковић, Б.(1991): Морфологија биљака. Научна књига, Београд.</w:t>
            </w:r>
          </w:p>
        </w:tc>
      </w:tr>
      <w:tr w:rsidR="007765CE" w:rsidRPr="007765CE" w:rsidTr="003B2623">
        <w:tc>
          <w:tcPr>
            <w:tcW w:w="8577" w:type="dxa"/>
            <w:gridSpan w:val="6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 xml:space="preserve">Број часова </w:t>
            </w:r>
            <w:r w:rsidRPr="007765CE">
              <w:rPr>
                <w:b/>
                <w:sz w:val="18"/>
                <w:szCs w:val="18"/>
                <w:lang w:val="sr-Cyrl-CS"/>
              </w:rPr>
              <w:t xml:space="preserve"> активне наставе</w:t>
            </w:r>
          </w:p>
        </w:tc>
        <w:tc>
          <w:tcPr>
            <w:tcW w:w="1449" w:type="dxa"/>
            <w:gridSpan w:val="2"/>
            <w:vMerge w:val="restart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7765CE">
              <w:rPr>
                <w:sz w:val="18"/>
                <w:szCs w:val="18"/>
              </w:rPr>
              <w:t>Остали</w:t>
            </w:r>
            <w:proofErr w:type="spellEnd"/>
            <w:r w:rsidRPr="007765CE">
              <w:rPr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sz w:val="18"/>
                <w:szCs w:val="18"/>
              </w:rPr>
              <w:t>часови</w:t>
            </w:r>
            <w:proofErr w:type="spellEnd"/>
          </w:p>
        </w:tc>
      </w:tr>
      <w:tr w:rsidR="007765CE" w:rsidRPr="007765CE" w:rsidTr="003B2623">
        <w:trPr>
          <w:trHeight w:val="350"/>
        </w:trPr>
        <w:tc>
          <w:tcPr>
            <w:tcW w:w="1532" w:type="dxa"/>
          </w:tcPr>
          <w:p w:rsidR="007765CE" w:rsidRPr="007765CE" w:rsidRDefault="007765CE" w:rsidP="007765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7765CE">
              <w:rPr>
                <w:bCs/>
                <w:sz w:val="18"/>
                <w:szCs w:val="18"/>
              </w:rPr>
              <w:t>Предавања:</w:t>
            </w:r>
            <w:r w:rsidRPr="007765C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765CE" w:rsidRPr="007765CE" w:rsidRDefault="007765CE" w:rsidP="007765CE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sr-Latn-CS"/>
              </w:rPr>
            </w:pPr>
            <w:r w:rsidRPr="007765CE">
              <w:rPr>
                <w:bCs/>
                <w:sz w:val="18"/>
                <w:szCs w:val="18"/>
              </w:rPr>
              <w:t>Вежбе:</w:t>
            </w:r>
            <w:r w:rsidRPr="007765C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14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7765CE">
              <w:rPr>
                <w:bCs/>
                <w:sz w:val="18"/>
                <w:szCs w:val="18"/>
              </w:rPr>
              <w:t>Други</w:t>
            </w:r>
            <w:proofErr w:type="spellEnd"/>
            <w:r w:rsidRPr="007765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bCs/>
                <w:sz w:val="18"/>
                <w:szCs w:val="18"/>
              </w:rPr>
              <w:t>облици</w:t>
            </w:r>
            <w:proofErr w:type="spellEnd"/>
            <w:r w:rsidRPr="007765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bCs/>
                <w:sz w:val="18"/>
                <w:szCs w:val="18"/>
              </w:rPr>
              <w:t>наставе</w:t>
            </w:r>
            <w:proofErr w:type="spellEnd"/>
            <w:r w:rsidRPr="007765CE">
              <w:rPr>
                <w:bCs/>
                <w:sz w:val="18"/>
                <w:szCs w:val="18"/>
              </w:rPr>
              <w:t>:-</w:t>
            </w:r>
          </w:p>
        </w:tc>
        <w:tc>
          <w:tcPr>
            <w:tcW w:w="3262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Cs/>
                <w:sz w:val="18"/>
                <w:szCs w:val="18"/>
                <w:lang w:val="sr-Cyrl-CS"/>
              </w:rPr>
            </w:pPr>
            <w:proofErr w:type="spellStart"/>
            <w:r w:rsidRPr="007765CE">
              <w:rPr>
                <w:bCs/>
                <w:sz w:val="18"/>
                <w:szCs w:val="18"/>
              </w:rPr>
              <w:t>Студијски</w:t>
            </w:r>
            <w:proofErr w:type="spellEnd"/>
            <w:r w:rsidRPr="007765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bCs/>
                <w:sz w:val="18"/>
                <w:szCs w:val="18"/>
              </w:rPr>
              <w:t>истраживачки</w:t>
            </w:r>
            <w:proofErr w:type="spellEnd"/>
            <w:r w:rsidRPr="007765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bCs/>
                <w:sz w:val="18"/>
                <w:szCs w:val="18"/>
              </w:rPr>
              <w:t>рад</w:t>
            </w:r>
            <w:proofErr w:type="spellEnd"/>
            <w:r w:rsidRPr="007765C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9" w:type="dxa"/>
            <w:gridSpan w:val="2"/>
            <w:vMerge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Методе извођења наставе</w:t>
            </w:r>
          </w:p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Cs/>
                <w:sz w:val="18"/>
                <w:szCs w:val="18"/>
                <w:lang w:val="ru-RU"/>
              </w:rPr>
              <w:t>Теоријска настава – вербално-текстуалне и демонстративно илустративне методе.</w:t>
            </w:r>
            <w:r w:rsidRPr="007765CE">
              <w:rPr>
                <w:sz w:val="18"/>
                <w:szCs w:val="18"/>
                <w:lang w:val="sr-Cyrl-CS"/>
              </w:rPr>
              <w:t xml:space="preserve"> </w:t>
            </w:r>
          </w:p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7765CE">
              <w:rPr>
                <w:sz w:val="18"/>
                <w:szCs w:val="18"/>
                <w:lang w:val="ru-RU"/>
              </w:rPr>
              <w:t>Практична настава - руковођење самосталним радом студената и демонстративно-илустративне методе.</w:t>
            </w:r>
          </w:p>
        </w:tc>
      </w:tr>
      <w:tr w:rsidR="007765CE" w:rsidRPr="007765CE" w:rsidTr="003B2623">
        <w:tc>
          <w:tcPr>
            <w:tcW w:w="10026" w:type="dxa"/>
            <w:gridSpan w:val="8"/>
          </w:tcPr>
          <w:p w:rsidR="007765CE" w:rsidRPr="007765CE" w:rsidRDefault="007765CE" w:rsidP="007765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Оцена  знања (максимални број поена 100)</w:t>
            </w:r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b/>
                <w:iCs/>
                <w:sz w:val="18"/>
                <w:szCs w:val="18"/>
                <w:lang w:val="sr-Cyrl-CS"/>
              </w:rPr>
              <w:t>Предиспитне обавезе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7765CE">
              <w:rPr>
                <w:b/>
                <w:bCs/>
                <w:sz w:val="18"/>
                <w:szCs w:val="18"/>
              </w:rPr>
              <w:t>поена</w:t>
            </w:r>
            <w:proofErr w:type="spellEnd"/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765CE">
              <w:rPr>
                <w:sz w:val="18"/>
                <w:szCs w:val="18"/>
              </w:rPr>
              <w:t>Завршни</w:t>
            </w:r>
            <w:proofErr w:type="spellEnd"/>
            <w:r w:rsidRPr="007765CE">
              <w:rPr>
                <w:sz w:val="18"/>
                <w:szCs w:val="18"/>
              </w:rPr>
              <w:t xml:space="preserve"> </w:t>
            </w:r>
            <w:proofErr w:type="spellStart"/>
            <w:r w:rsidRPr="007765CE">
              <w:rPr>
                <w:sz w:val="18"/>
                <w:szCs w:val="18"/>
              </w:rPr>
              <w:t>испит</w:t>
            </w:r>
            <w:proofErr w:type="spellEnd"/>
            <w:r w:rsidRPr="00776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7765CE">
              <w:rPr>
                <w:i/>
                <w:iCs/>
                <w:sz w:val="18"/>
                <w:szCs w:val="18"/>
              </w:rPr>
              <w:t>поена</w:t>
            </w:r>
            <w:proofErr w:type="spellEnd"/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активност у току предавања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До 5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писмени испит</w:t>
            </w: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i/>
                <w:iCs/>
                <w:sz w:val="18"/>
                <w:szCs w:val="18"/>
                <w:lang w:val="sr-Cyrl-CS"/>
              </w:rPr>
              <w:t>-</w:t>
            </w:r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До 5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усмени испт</w:t>
            </w: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b/>
                <w:iCs/>
                <w:sz w:val="18"/>
                <w:szCs w:val="18"/>
                <w:lang w:val="sr-Cyrl-CS"/>
              </w:rPr>
            </w:pPr>
            <w:r w:rsidRPr="007765CE">
              <w:rPr>
                <w:b/>
                <w:iCs/>
                <w:sz w:val="18"/>
                <w:szCs w:val="18"/>
                <w:lang w:val="sr-Cyrl-CS"/>
              </w:rPr>
              <w:t>До 50</w:t>
            </w:r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колоквијум-и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До 10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  <w:r w:rsidRPr="007765CE">
              <w:rPr>
                <w:i/>
                <w:iCs/>
                <w:sz w:val="18"/>
                <w:szCs w:val="18"/>
                <w:lang w:val="sr-Cyrl-CS"/>
              </w:rPr>
              <w:t>..........</w:t>
            </w: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тестови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До 20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</w:p>
        </w:tc>
      </w:tr>
      <w:tr w:rsidR="007765CE" w:rsidRPr="007765CE" w:rsidTr="003B2623">
        <w:tc>
          <w:tcPr>
            <w:tcW w:w="3411" w:type="dxa"/>
            <w:gridSpan w:val="3"/>
          </w:tcPr>
          <w:p w:rsidR="007765CE" w:rsidRPr="007765CE" w:rsidRDefault="007765CE" w:rsidP="007765C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7765CE">
              <w:rPr>
                <w:sz w:val="18"/>
                <w:szCs w:val="18"/>
                <w:lang w:val="sr-Cyrl-CS"/>
              </w:rPr>
              <w:t>семинар-и</w:t>
            </w:r>
          </w:p>
        </w:tc>
        <w:tc>
          <w:tcPr>
            <w:tcW w:w="1987" w:type="dxa"/>
            <w:gridSpan w:val="2"/>
          </w:tcPr>
          <w:p w:rsidR="007765CE" w:rsidRPr="007765CE" w:rsidRDefault="007765CE" w:rsidP="007765CE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7765CE">
              <w:rPr>
                <w:b/>
                <w:bCs/>
                <w:sz w:val="18"/>
                <w:szCs w:val="18"/>
                <w:lang w:val="sr-Cyrl-CS"/>
              </w:rPr>
              <w:t>До 10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259" w:type="dxa"/>
            <w:shd w:val="clear" w:color="auto" w:fill="auto"/>
          </w:tcPr>
          <w:p w:rsidR="007765CE" w:rsidRPr="007765CE" w:rsidRDefault="007765CE" w:rsidP="007765CE">
            <w:pPr>
              <w:spacing w:after="0" w:line="240" w:lineRule="auto"/>
              <w:rPr>
                <w:i/>
                <w:iCs/>
                <w:sz w:val="18"/>
                <w:szCs w:val="18"/>
                <w:lang w:val="sr-Cyrl-CS"/>
              </w:rPr>
            </w:pP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2767C"/>
    <w:rsid w:val="001312B9"/>
    <w:rsid w:val="00190040"/>
    <w:rsid w:val="001F34D7"/>
    <w:rsid w:val="002319BC"/>
    <w:rsid w:val="00255EDE"/>
    <w:rsid w:val="002611DF"/>
    <w:rsid w:val="00322F84"/>
    <w:rsid w:val="00364C19"/>
    <w:rsid w:val="00390549"/>
    <w:rsid w:val="003D770B"/>
    <w:rsid w:val="00460D3F"/>
    <w:rsid w:val="004666C8"/>
    <w:rsid w:val="004C1CC6"/>
    <w:rsid w:val="00535E50"/>
    <w:rsid w:val="005D724E"/>
    <w:rsid w:val="005E42D1"/>
    <w:rsid w:val="007765CE"/>
    <w:rsid w:val="00927F2D"/>
    <w:rsid w:val="00992A8A"/>
    <w:rsid w:val="009B28FB"/>
    <w:rsid w:val="009E2BF4"/>
    <w:rsid w:val="00AE67EE"/>
    <w:rsid w:val="00B229E8"/>
    <w:rsid w:val="00B3495A"/>
    <w:rsid w:val="00BE7F32"/>
    <w:rsid w:val="00C21CE9"/>
    <w:rsid w:val="00C67789"/>
    <w:rsid w:val="00CB521C"/>
    <w:rsid w:val="00CC0E96"/>
    <w:rsid w:val="00CC7AA9"/>
    <w:rsid w:val="00D02E1F"/>
    <w:rsid w:val="00D554D7"/>
    <w:rsid w:val="00D57E7D"/>
    <w:rsid w:val="00DF0ABC"/>
    <w:rsid w:val="00F87FB0"/>
    <w:rsid w:val="00F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4530-1D5A-4090-8597-8EDD106D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ljiljana.nikolic</cp:lastModifiedBy>
  <cp:revision>2</cp:revision>
  <cp:lastPrinted>2014-12-23T12:54:00Z</cp:lastPrinted>
  <dcterms:created xsi:type="dcterms:W3CDTF">2015-12-14T08:36:00Z</dcterms:created>
  <dcterms:modified xsi:type="dcterms:W3CDTF">2015-12-14T08:36:00Z</dcterms:modified>
</cp:coreProperties>
</file>