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67"/>
        <w:gridCol w:w="1586"/>
        <w:gridCol w:w="271"/>
        <w:gridCol w:w="278"/>
        <w:gridCol w:w="851"/>
        <w:gridCol w:w="544"/>
        <w:gridCol w:w="724"/>
        <w:gridCol w:w="1073"/>
        <w:gridCol w:w="555"/>
        <w:gridCol w:w="825"/>
        <w:gridCol w:w="425"/>
        <w:gridCol w:w="701"/>
        <w:gridCol w:w="539"/>
        <w:gridCol w:w="708"/>
      </w:tblGrid>
      <w:tr w:rsidR="009E2BF4" w:rsidTr="00B01283">
        <w:trPr>
          <w:trHeight w:val="420"/>
        </w:trPr>
        <w:tc>
          <w:tcPr>
            <w:tcW w:w="2253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494" w:type="dxa"/>
            <w:gridSpan w:val="12"/>
            <w:vMerge w:val="restart"/>
            <w:vAlign w:val="center"/>
          </w:tcPr>
          <w:p w:rsidR="009E2BF4" w:rsidRPr="009E2BF4" w:rsidRDefault="00F250D2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AUTOCHTHONOUS CHEESE PRODUCTION</w:t>
            </w:r>
          </w:p>
        </w:tc>
      </w:tr>
      <w:tr w:rsidR="009E2BF4" w:rsidTr="00B01283">
        <w:tc>
          <w:tcPr>
            <w:tcW w:w="2253" w:type="dxa"/>
            <w:gridSpan w:val="2"/>
            <w:vAlign w:val="center"/>
          </w:tcPr>
          <w:p w:rsidR="009E2BF4" w:rsidRPr="009E2BF4" w:rsidRDefault="009E2BF4" w:rsidP="00F250D2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DB2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50D2">
              <w:t xml:space="preserve"> </w:t>
            </w:r>
            <w:r w:rsidR="00F250D2" w:rsidRPr="00F250D2">
              <w:rPr>
                <w:rFonts w:ascii="Arial" w:hAnsi="Arial" w:cs="Arial"/>
                <w:sz w:val="16"/>
                <w:szCs w:val="16"/>
              </w:rPr>
              <w:t>8</w:t>
            </w:r>
            <w:r w:rsidR="00F250D2">
              <w:rPr>
                <w:rFonts w:ascii="Arial" w:hAnsi="Arial" w:cs="Arial"/>
                <w:sz w:val="16"/>
                <w:szCs w:val="16"/>
              </w:rPr>
              <w:t>MST</w:t>
            </w:r>
            <w:r w:rsidR="00F250D2" w:rsidRPr="00F250D2">
              <w:rPr>
                <w:rFonts w:ascii="Arial" w:hAnsi="Arial" w:cs="Arial"/>
                <w:sz w:val="16"/>
                <w:szCs w:val="16"/>
              </w:rPr>
              <w:t>1</w:t>
            </w:r>
            <w:r w:rsidR="00F250D2">
              <w:rPr>
                <w:rFonts w:ascii="Arial" w:hAnsi="Arial" w:cs="Arial"/>
                <w:sz w:val="16"/>
                <w:szCs w:val="16"/>
              </w:rPr>
              <w:t>I</w:t>
            </w:r>
            <w:r w:rsidR="00F250D2" w:rsidRPr="00F250D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94" w:type="dxa"/>
            <w:gridSpan w:val="12"/>
            <w:vMerge/>
          </w:tcPr>
          <w:p w:rsidR="009E2BF4" w:rsidRDefault="009E2BF4" w:rsidP="001312B9"/>
        </w:tc>
      </w:tr>
      <w:tr w:rsidR="009E2BF4" w:rsidTr="00B01283">
        <w:tc>
          <w:tcPr>
            <w:tcW w:w="2253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B215B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494" w:type="dxa"/>
            <w:gridSpan w:val="12"/>
            <w:vMerge/>
          </w:tcPr>
          <w:p w:rsidR="009E2BF4" w:rsidRDefault="009E2BF4" w:rsidP="001312B9"/>
        </w:tc>
      </w:tr>
      <w:tr w:rsidR="002611DF" w:rsidTr="00B01283">
        <w:tc>
          <w:tcPr>
            <w:tcW w:w="2253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494" w:type="dxa"/>
            <w:gridSpan w:val="12"/>
          </w:tcPr>
          <w:p w:rsidR="002611DF" w:rsidRDefault="00DB215B" w:rsidP="001312B9">
            <w:r>
              <w:t>Anka Popović-Vranješ</w:t>
            </w:r>
          </w:p>
        </w:tc>
      </w:tr>
      <w:tr w:rsidR="00DF0ABC" w:rsidTr="00B01283"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494" w:type="dxa"/>
            <w:gridSpan w:val="12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B01283">
        <w:trPr>
          <w:trHeight w:val="227"/>
        </w:trPr>
        <w:tc>
          <w:tcPr>
            <w:tcW w:w="2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B2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B2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B01283">
        <w:tc>
          <w:tcPr>
            <w:tcW w:w="2253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494" w:type="dxa"/>
            <w:gridSpan w:val="1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Tr="002F0738">
        <w:tc>
          <w:tcPr>
            <w:tcW w:w="9747" w:type="dxa"/>
            <w:gridSpan w:val="14"/>
          </w:tcPr>
          <w:p w:rsidR="005E42D1" w:rsidRPr="00B0128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Educational goal</w:t>
            </w:r>
          </w:p>
          <w:p w:rsidR="00F250D2" w:rsidRPr="00B01283" w:rsidRDefault="00F250D2" w:rsidP="00F25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Production of autochthonous cheeses in small plants that are part of the farm for milk and exploitation of</w:t>
            </w:r>
          </w:p>
          <w:p w:rsidR="005E42D1" w:rsidRPr="00B01283" w:rsidRDefault="00F250D2" w:rsidP="00F250D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whey as a by-product.</w:t>
            </w:r>
          </w:p>
        </w:tc>
      </w:tr>
      <w:tr w:rsidR="005E42D1" w:rsidTr="002F0738">
        <w:tc>
          <w:tcPr>
            <w:tcW w:w="9747" w:type="dxa"/>
            <w:gridSpan w:val="14"/>
          </w:tcPr>
          <w:p w:rsidR="005E42D1" w:rsidRPr="00B0128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Educational outcomes</w:t>
            </w:r>
          </w:p>
          <w:p w:rsidR="00F250D2" w:rsidRPr="00B01283" w:rsidRDefault="00F250D2" w:rsidP="00F250D2">
            <w:pPr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The acquired knowledge provides  to students expertise to work in the production of authentic cheeses in small plants,</w:t>
            </w:r>
          </w:p>
          <w:p w:rsidR="005E42D1" w:rsidRPr="00B01283" w:rsidRDefault="00F250D2" w:rsidP="00F250D2">
            <w:pPr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advisory professional services, in secondary education and the like.</w:t>
            </w:r>
          </w:p>
        </w:tc>
      </w:tr>
      <w:tr w:rsidR="005E42D1" w:rsidTr="002F0738">
        <w:tc>
          <w:tcPr>
            <w:tcW w:w="9747" w:type="dxa"/>
            <w:gridSpan w:val="14"/>
          </w:tcPr>
          <w:p w:rsidR="005E42D1" w:rsidRPr="00B0128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Course content</w:t>
            </w:r>
          </w:p>
          <w:p w:rsidR="00F250D2" w:rsidRPr="00B01283" w:rsidRDefault="00F250D2" w:rsidP="00F250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01283">
              <w:rPr>
                <w:rFonts w:ascii="Arial" w:hAnsi="Arial" w:cs="Arial"/>
                <w:i/>
                <w:sz w:val="18"/>
                <w:szCs w:val="18"/>
              </w:rPr>
              <w:t>Theory lessons</w:t>
            </w:r>
          </w:p>
          <w:p w:rsidR="00F250D2" w:rsidRPr="00B01283" w:rsidRDefault="00F250D2" w:rsidP="00F250D2">
            <w:pPr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 xml:space="preserve">The history and origins of autochthonous cheeses. </w:t>
            </w:r>
            <w:r w:rsidR="00B01283" w:rsidRPr="00B01283">
              <w:rPr>
                <w:rFonts w:ascii="Arial" w:hAnsi="Arial" w:cs="Arial"/>
                <w:sz w:val="18"/>
                <w:szCs w:val="18"/>
              </w:rPr>
              <w:t>Types</w:t>
            </w:r>
            <w:r w:rsidRPr="00B01283">
              <w:rPr>
                <w:rFonts w:ascii="Arial" w:hAnsi="Arial" w:cs="Arial"/>
                <w:sz w:val="18"/>
                <w:szCs w:val="18"/>
              </w:rPr>
              <w:t xml:space="preserve"> of  autochthonous cheeses. The importance of composition and properties </w:t>
            </w:r>
            <w:r w:rsidR="00B01283" w:rsidRPr="00B01283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B01283">
              <w:rPr>
                <w:rFonts w:ascii="Arial" w:hAnsi="Arial" w:cs="Arial"/>
                <w:sz w:val="18"/>
                <w:szCs w:val="18"/>
              </w:rPr>
              <w:t xml:space="preserve">autochthonous cheeses. Milk </w:t>
            </w:r>
            <w:r w:rsidR="00B01283" w:rsidRPr="00B01283">
              <w:rPr>
                <w:rFonts w:ascii="Arial" w:hAnsi="Arial" w:cs="Arial"/>
                <w:sz w:val="18"/>
                <w:szCs w:val="18"/>
              </w:rPr>
              <w:t>for c</w:t>
            </w:r>
            <w:r w:rsidRPr="00B01283">
              <w:rPr>
                <w:rFonts w:ascii="Arial" w:hAnsi="Arial" w:cs="Arial"/>
                <w:sz w:val="18"/>
                <w:szCs w:val="18"/>
              </w:rPr>
              <w:t xml:space="preserve">heese (chemical and hygienic quality). Main stages of the operation in the production </w:t>
            </w:r>
            <w:r w:rsidR="00B01283" w:rsidRPr="00B01283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B01283">
              <w:rPr>
                <w:rFonts w:ascii="Arial" w:hAnsi="Arial" w:cs="Arial"/>
                <w:sz w:val="18"/>
                <w:szCs w:val="18"/>
              </w:rPr>
              <w:t>autochthonous</w:t>
            </w:r>
            <w:r w:rsidR="00B01283" w:rsidRPr="00B01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283">
              <w:rPr>
                <w:rFonts w:ascii="Arial" w:hAnsi="Arial" w:cs="Arial"/>
                <w:sz w:val="18"/>
                <w:szCs w:val="18"/>
              </w:rPr>
              <w:t>cheeses made from cow's, sheep's and goat's milk. Exploitation of whey products for human consumption.</w:t>
            </w:r>
            <w:r w:rsidR="00B01283" w:rsidRPr="00B01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283">
              <w:rPr>
                <w:rFonts w:ascii="Arial" w:hAnsi="Arial" w:cs="Arial"/>
                <w:sz w:val="18"/>
                <w:szCs w:val="18"/>
              </w:rPr>
              <w:t>The use of whey in the diet of cattle.</w:t>
            </w:r>
          </w:p>
          <w:p w:rsidR="00B01283" w:rsidRPr="00B01283" w:rsidRDefault="00F250D2" w:rsidP="00F250D2">
            <w:pPr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i/>
                <w:sz w:val="18"/>
                <w:szCs w:val="18"/>
              </w:rPr>
              <w:t>Practical lessons</w:t>
            </w:r>
            <w:r w:rsidRPr="00B0128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250D2" w:rsidRPr="00B01283" w:rsidRDefault="00F250D2" w:rsidP="00F250D2">
            <w:pPr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Exercise, Other modes of teaching, Study research work</w:t>
            </w:r>
          </w:p>
          <w:p w:rsidR="00F250D2" w:rsidRPr="00B01283" w:rsidRDefault="00F250D2" w:rsidP="00F250D2">
            <w:pPr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 xml:space="preserve">Milk cheese. Rennet - fermentation test. Creating </w:t>
            </w:r>
            <w:r w:rsidR="00B01283" w:rsidRPr="00B01283">
              <w:rPr>
                <w:rFonts w:ascii="Arial" w:hAnsi="Arial" w:cs="Arial"/>
                <w:sz w:val="18"/>
                <w:szCs w:val="18"/>
              </w:rPr>
              <w:t xml:space="preserve"> autochthonous </w:t>
            </w:r>
            <w:r w:rsidRPr="00B01283">
              <w:rPr>
                <w:rFonts w:ascii="Arial" w:hAnsi="Arial" w:cs="Arial"/>
                <w:sz w:val="18"/>
                <w:szCs w:val="18"/>
              </w:rPr>
              <w:t>cheeses from cow, sheep and goat</w:t>
            </w:r>
          </w:p>
          <w:p w:rsidR="00F250D2" w:rsidRPr="00B01283" w:rsidRDefault="00F250D2" w:rsidP="00F250D2">
            <w:pPr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milk. Basic analysis of cheese. The acidity of the cheese. pH value. Determination of dry matter. Determination of</w:t>
            </w:r>
          </w:p>
          <w:p w:rsidR="005E42D1" w:rsidRPr="00B01283" w:rsidRDefault="00F250D2" w:rsidP="00F250D2">
            <w:pPr>
              <w:rPr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fat. Determination of moisture content</w:t>
            </w:r>
          </w:p>
        </w:tc>
      </w:tr>
      <w:tr w:rsidR="005E42D1" w:rsidTr="002F0738">
        <w:tc>
          <w:tcPr>
            <w:tcW w:w="9747" w:type="dxa"/>
            <w:gridSpan w:val="14"/>
            <w:tcBorders>
              <w:bottom w:val="single" w:sz="4" w:space="0" w:color="auto"/>
            </w:tcBorders>
          </w:tcPr>
          <w:p w:rsidR="005E42D1" w:rsidRPr="00B01283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>Teaching methods</w:t>
            </w:r>
          </w:p>
          <w:p w:rsidR="005E42D1" w:rsidRPr="00B01283" w:rsidRDefault="00DB215B" w:rsidP="009E2BF4">
            <w:pPr>
              <w:rPr>
                <w:rFonts w:ascii="Arial" w:hAnsi="Arial" w:cs="Arial"/>
                <w:sz w:val="18"/>
                <w:szCs w:val="18"/>
              </w:rPr>
            </w:pPr>
            <w:r w:rsidRPr="00B01283">
              <w:rPr>
                <w:rFonts w:ascii="Arial" w:hAnsi="Arial" w:cs="Arial"/>
                <w:sz w:val="18"/>
                <w:szCs w:val="18"/>
              </w:rPr>
              <w:t xml:space="preserve">a) pre exam: </w:t>
            </w:r>
            <w:r w:rsidRPr="00B01283">
              <w:rPr>
                <w:sz w:val="18"/>
                <w:szCs w:val="18"/>
              </w:rPr>
              <w:t xml:space="preserve"> </w:t>
            </w:r>
            <w:r w:rsidRPr="00B01283">
              <w:rPr>
                <w:rFonts w:ascii="Arial" w:hAnsi="Arial" w:cs="Arial"/>
                <w:sz w:val="18"/>
                <w:szCs w:val="18"/>
              </w:rPr>
              <w:t>test of individual blocks of classes and exercises; seminar work (student's choice,in the field of case); Attendance of lectures and exercises.</w:t>
            </w:r>
            <w:r w:rsidR="00B012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1283">
              <w:rPr>
                <w:rFonts w:ascii="Arial" w:hAnsi="Arial" w:cs="Arial"/>
                <w:sz w:val="18"/>
                <w:szCs w:val="18"/>
              </w:rPr>
              <w:t>b) exam: oral exam</w:t>
            </w:r>
          </w:p>
        </w:tc>
      </w:tr>
      <w:tr w:rsidR="005E42D1" w:rsidTr="002F0738"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B01283">
        <w:tc>
          <w:tcPr>
            <w:tcW w:w="2524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B01283">
        <w:tc>
          <w:tcPr>
            <w:tcW w:w="2524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5E42D1" w:rsidRPr="005E42D1" w:rsidRDefault="00DB215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53" w:type="dxa"/>
            <w:gridSpan w:val="3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exam/Written part of the exam-tasks and theory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E42D1" w:rsidRPr="005E42D1" w:rsidRDefault="00DB215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B01283">
        <w:tc>
          <w:tcPr>
            <w:tcW w:w="2524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D02E1F" w:rsidRPr="005E42D1" w:rsidRDefault="00DB215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6" w:type="dxa"/>
            <w:gridSpan w:val="7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01283">
        <w:tc>
          <w:tcPr>
            <w:tcW w:w="2524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D02E1F" w:rsidRPr="005E42D1" w:rsidRDefault="00DB215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6" w:type="dxa"/>
            <w:gridSpan w:val="7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01283">
        <w:tc>
          <w:tcPr>
            <w:tcW w:w="25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Ovde se mogu pojaviti i kolokvijumi i seminarski rad (npr. Test, Term paper)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B215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82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4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B01283" w:rsidTr="00B01283">
        <w:tc>
          <w:tcPr>
            <w:tcW w:w="667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1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747" w:type="dxa"/>
            <w:gridSpan w:val="5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490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708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B01283" w:rsidTr="00B01283">
        <w:tc>
          <w:tcPr>
            <w:tcW w:w="667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5E42D1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Dozet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Natalija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Adžić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B01283">
              <w:rPr>
                <w:rFonts w:ascii="Arial" w:hAnsi="Arial" w:cs="Arial"/>
                <w:sz w:val="16"/>
                <w:szCs w:val="16"/>
              </w:rPr>
              <w:t>.,</w:t>
            </w:r>
            <w:r>
              <w:rPr>
                <w:rFonts w:ascii="Arial" w:hAnsi="Arial" w:cs="Arial"/>
                <w:sz w:val="16"/>
                <w:szCs w:val="16"/>
              </w:rPr>
              <w:t>Stanišić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01283">
              <w:rPr>
                <w:rFonts w:ascii="Arial" w:hAnsi="Arial" w:cs="Arial"/>
                <w:sz w:val="16"/>
                <w:szCs w:val="16"/>
              </w:rPr>
              <w:t>.,</w:t>
            </w:r>
            <w:r>
              <w:rPr>
                <w:rFonts w:ascii="Arial" w:hAnsi="Arial" w:cs="Arial"/>
                <w:sz w:val="16"/>
                <w:szCs w:val="16"/>
              </w:rPr>
              <w:t>Živić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B01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47" w:type="dxa"/>
            <w:gridSpan w:val="5"/>
            <w:vAlign w:val="center"/>
          </w:tcPr>
          <w:p w:rsidR="005E42D1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Autohtoni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mlječni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proizvodi</w:t>
            </w:r>
          </w:p>
        </w:tc>
        <w:tc>
          <w:tcPr>
            <w:tcW w:w="2490" w:type="dxa"/>
            <w:gridSpan w:val="4"/>
            <w:vAlign w:val="center"/>
          </w:tcPr>
          <w:p w:rsidR="00B01283" w:rsidRPr="00B01283" w:rsidRDefault="00B01283" w:rsidP="00B01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Poljoprivredni</w:t>
            </w:r>
          </w:p>
          <w:p w:rsidR="005E42D1" w:rsidRPr="00D02E1F" w:rsidRDefault="00B01283" w:rsidP="00B01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>Podgorica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</w:rPr>
              <w:t>Beograd</w:t>
            </w:r>
          </w:p>
        </w:tc>
        <w:tc>
          <w:tcPr>
            <w:tcW w:w="708" w:type="dxa"/>
            <w:vAlign w:val="center"/>
          </w:tcPr>
          <w:p w:rsidR="005E42D1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</w:tr>
      <w:tr w:rsidR="00B01283" w:rsidTr="00B01283">
        <w:tc>
          <w:tcPr>
            <w:tcW w:w="667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D02E1F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Popović</w:t>
            </w:r>
            <w:r w:rsidRPr="00B0128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Vranješ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Anka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Vujičić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01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747" w:type="dxa"/>
            <w:gridSpan w:val="5"/>
            <w:vAlign w:val="center"/>
          </w:tcPr>
          <w:p w:rsidR="00D02E1F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Tehnologija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surutke</w:t>
            </w:r>
          </w:p>
        </w:tc>
        <w:tc>
          <w:tcPr>
            <w:tcW w:w="2490" w:type="dxa"/>
            <w:gridSpan w:val="4"/>
            <w:vAlign w:val="center"/>
          </w:tcPr>
          <w:p w:rsidR="00D02E1F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Novom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Sadu 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</w:p>
        </w:tc>
        <w:tc>
          <w:tcPr>
            <w:tcW w:w="708" w:type="dxa"/>
            <w:vAlign w:val="center"/>
          </w:tcPr>
          <w:p w:rsidR="00D02E1F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</w:tr>
      <w:tr w:rsidR="00B01283" w:rsidTr="00B01283">
        <w:tc>
          <w:tcPr>
            <w:tcW w:w="667" w:type="dxa"/>
            <w:vAlign w:val="center"/>
          </w:tcPr>
          <w:p w:rsidR="00DB215B" w:rsidRPr="00D02E1F" w:rsidRDefault="00DB215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DB215B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Vujičić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747" w:type="dxa"/>
            <w:gridSpan w:val="5"/>
            <w:vAlign w:val="center"/>
          </w:tcPr>
          <w:p w:rsidR="00DB215B" w:rsidRPr="00DB215B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Mlekarstvo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1. </w:t>
            </w:r>
            <w:r>
              <w:rPr>
                <w:rFonts w:ascii="Arial" w:hAnsi="Arial" w:cs="Arial"/>
                <w:sz w:val="16"/>
                <w:szCs w:val="16"/>
              </w:rPr>
              <w:t>deo</w:t>
            </w:r>
          </w:p>
        </w:tc>
        <w:tc>
          <w:tcPr>
            <w:tcW w:w="2490" w:type="dxa"/>
            <w:gridSpan w:val="4"/>
            <w:vAlign w:val="center"/>
          </w:tcPr>
          <w:p w:rsidR="00DB215B" w:rsidRPr="00DB215B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IRO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</w:rPr>
              <w:t>Naučna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knjiga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“ </w:t>
            </w:r>
            <w:r>
              <w:rPr>
                <w:rFonts w:ascii="Arial" w:hAnsi="Arial" w:cs="Arial"/>
                <w:sz w:val="16"/>
                <w:szCs w:val="16"/>
              </w:rPr>
              <w:t>Beograd</w:t>
            </w:r>
            <w:r w:rsidRPr="00B01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DB215B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</w:tr>
      <w:tr w:rsidR="00B01283" w:rsidTr="00B01283">
        <w:tc>
          <w:tcPr>
            <w:tcW w:w="667" w:type="dxa"/>
            <w:vAlign w:val="center"/>
          </w:tcPr>
          <w:p w:rsidR="00DB215B" w:rsidRPr="00D02E1F" w:rsidRDefault="00DB215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DB215B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Carić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Marijana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Milanović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Spasenija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Vucelja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Dragica</w:t>
            </w:r>
          </w:p>
        </w:tc>
        <w:tc>
          <w:tcPr>
            <w:tcW w:w="3747" w:type="dxa"/>
            <w:gridSpan w:val="5"/>
            <w:vAlign w:val="center"/>
          </w:tcPr>
          <w:p w:rsidR="00B01283" w:rsidRPr="00B01283" w:rsidRDefault="00B01283" w:rsidP="00B01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Standardne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metode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analize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mleka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:rsidR="00DB215B" w:rsidRPr="00DB215B" w:rsidRDefault="00B01283" w:rsidP="00B01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mlečnih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proizvoda</w:t>
            </w:r>
          </w:p>
        </w:tc>
        <w:tc>
          <w:tcPr>
            <w:tcW w:w="2490" w:type="dxa"/>
            <w:gridSpan w:val="4"/>
            <w:vAlign w:val="center"/>
          </w:tcPr>
          <w:p w:rsidR="00DB215B" w:rsidRPr="00DB215B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283"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 w:cs="Arial"/>
                <w:sz w:val="16"/>
                <w:szCs w:val="16"/>
              </w:rPr>
              <w:t>Prometej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“ </w:t>
            </w:r>
            <w:r>
              <w:rPr>
                <w:rFonts w:ascii="Arial" w:hAnsi="Arial" w:cs="Arial"/>
                <w:sz w:val="16"/>
                <w:szCs w:val="16"/>
              </w:rPr>
              <w:t>Novi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Suizdavač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>Tehnološki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Novi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</w:t>
            </w:r>
            <w:r w:rsidRPr="00B012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DB215B" w:rsidRDefault="00DB215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012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B215B" w:rsidTr="00B01283">
        <w:tc>
          <w:tcPr>
            <w:tcW w:w="667" w:type="dxa"/>
            <w:vAlign w:val="center"/>
          </w:tcPr>
          <w:p w:rsidR="00DB215B" w:rsidRPr="00D02E1F" w:rsidRDefault="00DB215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DB215B" w:rsidRPr="00D02E1F" w:rsidRDefault="00DB215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7" w:type="dxa"/>
            <w:gridSpan w:val="5"/>
            <w:vAlign w:val="center"/>
          </w:tcPr>
          <w:p w:rsidR="00DB215B" w:rsidRPr="00DB215B" w:rsidRDefault="00B01283" w:rsidP="00B01283">
            <w:pPr>
              <w:rPr>
                <w:rFonts w:ascii="Arial" w:hAnsi="Arial" w:cs="Arial"/>
                <w:sz w:val="16"/>
                <w:szCs w:val="16"/>
              </w:rPr>
            </w:pPr>
            <w:r w:rsidRPr="00B01283">
              <w:rPr>
                <w:rFonts w:ascii="Arial" w:hAnsi="Arial" w:cs="Arial"/>
                <w:sz w:val="16"/>
                <w:szCs w:val="16"/>
              </w:rPr>
              <w:t>Regulations on quality and other requirements for milk, milk products, composite milk products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283">
              <w:rPr>
                <w:rFonts w:ascii="Arial" w:hAnsi="Arial" w:cs="Arial"/>
                <w:sz w:val="16"/>
                <w:szCs w:val="16"/>
              </w:rPr>
              <w:t>starter cultures</w:t>
            </w:r>
          </w:p>
        </w:tc>
        <w:tc>
          <w:tcPr>
            <w:tcW w:w="2490" w:type="dxa"/>
            <w:gridSpan w:val="4"/>
            <w:vAlign w:val="center"/>
          </w:tcPr>
          <w:p w:rsidR="00DB215B" w:rsidRPr="00DB215B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283">
              <w:rPr>
                <w:rFonts w:ascii="Arial" w:hAnsi="Arial" w:cs="Arial"/>
                <w:sz w:val="16"/>
                <w:szCs w:val="16"/>
              </w:rPr>
              <w:t>Off. Gazette no. 26/2002</w:t>
            </w:r>
          </w:p>
        </w:tc>
        <w:tc>
          <w:tcPr>
            <w:tcW w:w="708" w:type="dxa"/>
            <w:vAlign w:val="center"/>
          </w:tcPr>
          <w:p w:rsidR="00DB215B" w:rsidRDefault="00DB215B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012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B215B" w:rsidTr="00B01283">
        <w:tc>
          <w:tcPr>
            <w:tcW w:w="667" w:type="dxa"/>
            <w:vAlign w:val="center"/>
          </w:tcPr>
          <w:p w:rsidR="00DB215B" w:rsidRPr="00D02E1F" w:rsidRDefault="00DB215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DB215B" w:rsidRPr="00D02E1F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283">
              <w:rPr>
                <w:rFonts w:ascii="Arial" w:hAnsi="Arial" w:cs="Arial"/>
                <w:sz w:val="16"/>
                <w:szCs w:val="16"/>
              </w:rPr>
              <w:t>Scott R.</w:t>
            </w:r>
          </w:p>
        </w:tc>
        <w:tc>
          <w:tcPr>
            <w:tcW w:w="3747" w:type="dxa"/>
            <w:gridSpan w:val="5"/>
            <w:vAlign w:val="center"/>
          </w:tcPr>
          <w:p w:rsidR="00DB215B" w:rsidRPr="00DB215B" w:rsidRDefault="00B01283" w:rsidP="00B01283">
            <w:pPr>
              <w:rPr>
                <w:rFonts w:ascii="Arial" w:hAnsi="Arial" w:cs="Arial"/>
                <w:sz w:val="16"/>
                <w:szCs w:val="16"/>
              </w:rPr>
            </w:pPr>
            <w:r w:rsidRPr="00B01283">
              <w:rPr>
                <w:rFonts w:ascii="Arial" w:hAnsi="Arial" w:cs="Arial"/>
                <w:sz w:val="16"/>
                <w:szCs w:val="16"/>
              </w:rPr>
              <w:t>Cheesemaking practice</w:t>
            </w:r>
          </w:p>
        </w:tc>
        <w:tc>
          <w:tcPr>
            <w:tcW w:w="2490" w:type="dxa"/>
            <w:gridSpan w:val="4"/>
            <w:vAlign w:val="center"/>
          </w:tcPr>
          <w:p w:rsidR="00DB215B" w:rsidRPr="00DB215B" w:rsidRDefault="00B01283" w:rsidP="00B012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283">
              <w:rPr>
                <w:rFonts w:ascii="Arial" w:hAnsi="Arial" w:cs="Arial"/>
                <w:sz w:val="16"/>
                <w:szCs w:val="16"/>
              </w:rPr>
              <w:t>Elsevier Applied Science publishers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B01283">
              <w:rPr>
                <w:rFonts w:ascii="Arial" w:hAnsi="Arial" w:cs="Arial"/>
                <w:sz w:val="16"/>
                <w:szCs w:val="16"/>
              </w:rPr>
              <w:t>London and New York.</w:t>
            </w: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DB215B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</w:tr>
      <w:tr w:rsidR="00B01283" w:rsidTr="00B01283">
        <w:tc>
          <w:tcPr>
            <w:tcW w:w="667" w:type="dxa"/>
            <w:vAlign w:val="center"/>
          </w:tcPr>
          <w:p w:rsidR="00B01283" w:rsidRPr="00D02E1F" w:rsidRDefault="00B01283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B01283" w:rsidRPr="00B01283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Popović</w:t>
            </w:r>
            <w:r w:rsidRPr="00B0128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Vranješ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Anka</w:t>
            </w:r>
          </w:p>
        </w:tc>
        <w:tc>
          <w:tcPr>
            <w:tcW w:w="3747" w:type="dxa"/>
            <w:gridSpan w:val="5"/>
            <w:vAlign w:val="center"/>
          </w:tcPr>
          <w:p w:rsidR="00B01283" w:rsidRPr="00B01283" w:rsidRDefault="00B01283" w:rsidP="00B01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Tehnologija</w:t>
            </w:r>
            <w:r w:rsidRPr="00B0128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proizvodnj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mleka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mlečnih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proizvoda</w:t>
            </w:r>
            <w:r w:rsidRPr="00B0128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490" w:type="dxa"/>
            <w:gridSpan w:val="4"/>
            <w:vAlign w:val="center"/>
          </w:tcPr>
          <w:p w:rsidR="00B01283" w:rsidRPr="00B01283" w:rsidRDefault="00B01283" w:rsidP="00B01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 Novom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Sadu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r w:rsidRPr="00B0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fakultet</w:t>
            </w:r>
          </w:p>
        </w:tc>
        <w:tc>
          <w:tcPr>
            <w:tcW w:w="708" w:type="dxa"/>
            <w:vAlign w:val="center"/>
          </w:tcPr>
          <w:p w:rsidR="00B01283" w:rsidRDefault="00B01283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1D64A8" w:rsidP="001E4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="002F0738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5559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59C8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1E42A5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255EDE"/>
    <w:rsid w:val="0008374A"/>
    <w:rsid w:val="001312B9"/>
    <w:rsid w:val="001D64A8"/>
    <w:rsid w:val="001E42A5"/>
    <w:rsid w:val="001F132E"/>
    <w:rsid w:val="001F34D7"/>
    <w:rsid w:val="002319BC"/>
    <w:rsid w:val="00255EDE"/>
    <w:rsid w:val="002611DF"/>
    <w:rsid w:val="00296294"/>
    <w:rsid w:val="002F0738"/>
    <w:rsid w:val="00322F84"/>
    <w:rsid w:val="004666C8"/>
    <w:rsid w:val="004C1CC6"/>
    <w:rsid w:val="00513136"/>
    <w:rsid w:val="00535E50"/>
    <w:rsid w:val="005559C8"/>
    <w:rsid w:val="005E42D1"/>
    <w:rsid w:val="006377F0"/>
    <w:rsid w:val="00744444"/>
    <w:rsid w:val="008F548C"/>
    <w:rsid w:val="00927F2D"/>
    <w:rsid w:val="009B28FB"/>
    <w:rsid w:val="009E2BF4"/>
    <w:rsid w:val="00AE67EE"/>
    <w:rsid w:val="00B01283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B215B"/>
    <w:rsid w:val="00DF0ABC"/>
    <w:rsid w:val="00EE22E6"/>
    <w:rsid w:val="00F250D2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goran.grubjesic</cp:lastModifiedBy>
  <cp:revision>4</cp:revision>
  <dcterms:created xsi:type="dcterms:W3CDTF">2014-12-24T06:30:00Z</dcterms:created>
  <dcterms:modified xsi:type="dcterms:W3CDTF">2014-12-31T13:00:00Z</dcterms:modified>
</cp:coreProperties>
</file>