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284"/>
        <w:gridCol w:w="850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181DB0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81DB0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9E2BF4" w:rsidRPr="00991673" w:rsidRDefault="00181DB0" w:rsidP="00181DB0">
            <w:pPr>
              <w:rPr>
                <w:rFonts w:cs="Arial"/>
                <w:i/>
                <w:szCs w:val="18"/>
              </w:rPr>
            </w:pPr>
            <w:proofErr w:type="spellStart"/>
            <w:r w:rsidRPr="00991673">
              <w:rPr>
                <w:rFonts w:cs="Arial"/>
                <w:i/>
                <w:szCs w:val="18"/>
              </w:rPr>
              <w:t>Ampelography</w:t>
            </w:r>
            <w:proofErr w:type="spellEnd"/>
            <w:r w:rsidRPr="00991673">
              <w:rPr>
                <w:rFonts w:cs="Arial"/>
                <w:i/>
                <w:szCs w:val="18"/>
              </w:rPr>
              <w:t xml:space="preserve"> and Grapevine selection</w:t>
            </w:r>
          </w:p>
          <w:p w:rsidR="00181DB0" w:rsidRPr="00991673" w:rsidRDefault="00181DB0" w:rsidP="00181DB0">
            <w:pPr>
              <w:rPr>
                <w:rFonts w:cs="Arial"/>
                <w:sz w:val="18"/>
                <w:szCs w:val="18"/>
              </w:rPr>
            </w:pPr>
            <w:r w:rsidRPr="00991673">
              <w:rPr>
                <w:rFonts w:cs="Arial"/>
                <w:sz w:val="18"/>
                <w:szCs w:val="18"/>
              </w:rPr>
              <w:t>3ОВВ7О27</w:t>
            </w:r>
          </w:p>
          <w:p w:rsidR="00181DB0" w:rsidRPr="00181DB0" w:rsidRDefault="001055F2" w:rsidP="00181D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91673">
              <w:rPr>
                <w:rFonts w:cs="Arial"/>
                <w:i/>
                <w:sz w:val="18"/>
                <w:szCs w:val="18"/>
              </w:rPr>
              <w:t>6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10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530" w:type="dxa"/>
            <w:gridSpan w:val="10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0"/>
          </w:tcPr>
          <w:p w:rsidR="002611DF" w:rsidRPr="001055F2" w:rsidRDefault="001055F2" w:rsidP="001312B9">
            <w:r>
              <w:t xml:space="preserve">Nada S. </w:t>
            </w:r>
            <w:proofErr w:type="spellStart"/>
            <w:r>
              <w:t>Korać</w:t>
            </w:r>
            <w:proofErr w:type="spellEnd"/>
            <w:r>
              <w:t xml:space="preserve">, </w:t>
            </w:r>
            <w:proofErr w:type="spellStart"/>
            <w:r>
              <w:t>Dragoslav</w:t>
            </w:r>
            <w:proofErr w:type="spellEnd"/>
            <w:r>
              <w:t xml:space="preserve"> M. </w:t>
            </w:r>
            <w:proofErr w:type="spellStart"/>
            <w:r>
              <w:t>Ivanišević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DF0ABC" w:rsidRDefault="00AE67EE" w:rsidP="001055F2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0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9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0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9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B3922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Passed all the exams of general viticulture courses from previous school year.</w:t>
            </w:r>
          </w:p>
        </w:tc>
      </w:tr>
      <w:tr w:rsidR="005E42D1" w:rsidTr="00A33A4A">
        <w:tc>
          <w:tcPr>
            <w:tcW w:w="9622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DE03FD" w:rsidRDefault="001055F2" w:rsidP="009E2BF4">
            <w:pPr>
              <w:rPr>
                <w:sz w:val="18"/>
                <w:szCs w:val="18"/>
              </w:rPr>
            </w:pP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goal of course is that students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acquire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and ability to implement methods for </w:t>
            </w:r>
            <w:proofErr w:type="spellStart"/>
            <w:r>
              <w:rPr>
                <w:rStyle w:val="hps"/>
                <w:rFonts w:ascii="Arial" w:hAnsi="Arial" w:cs="Arial"/>
                <w:sz w:val="16"/>
                <w:szCs w:val="16"/>
              </w:rPr>
              <w:t>ampelographic</w:t>
            </w:r>
            <w:proofErr w:type="spellEnd"/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44574">
              <w:rPr>
                <w:rStyle w:val="hps"/>
                <w:rFonts w:ascii="Arial" w:hAnsi="Arial" w:cs="Arial"/>
                <w:sz w:val="16"/>
                <w:szCs w:val="16"/>
              </w:rPr>
              <w:t>agrobiological</w:t>
            </w:r>
            <w:proofErr w:type="spellEnd"/>
            <w:r w:rsidR="00544574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 xml:space="preserve">and technological analysis </w:t>
            </w:r>
            <w:r w:rsidR="009B3922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9B3922">
              <w:rPr>
                <w:rStyle w:val="hps"/>
                <w:rFonts w:ascii="Arial" w:hAnsi="Arial" w:cs="Arial"/>
                <w:sz w:val="16"/>
                <w:szCs w:val="16"/>
              </w:rPr>
              <w:t>characterization</w:t>
            </w:r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DE03FD" w:rsidRPr="00DE03FD">
              <w:rPr>
                <w:rStyle w:val="hps"/>
                <w:rFonts w:ascii="Arial" w:hAnsi="Arial" w:cs="Arial"/>
                <w:i/>
                <w:sz w:val="16"/>
                <w:szCs w:val="16"/>
              </w:rPr>
              <w:t>Vitis</w:t>
            </w:r>
            <w:proofErr w:type="spellEnd"/>
            <w:r w:rsidR="00DE03FD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 xml:space="preserve">genus and its grapevine cultivars. Gaining of knowledge and implementation of the methods used in breeding </w:t>
            </w:r>
            <w:proofErr w:type="spellStart"/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>programmes</w:t>
            </w:r>
            <w:proofErr w:type="spellEnd"/>
            <w:r w:rsidR="00DE03FD">
              <w:rPr>
                <w:rStyle w:val="hps"/>
                <w:rFonts w:ascii="Arial" w:hAnsi="Arial" w:cs="Arial"/>
                <w:sz w:val="16"/>
                <w:szCs w:val="16"/>
              </w:rPr>
              <w:t xml:space="preserve"> with the aim of improvement of already existing assortment, improvement of productivity traits of the cultivars used in production and production of  new grapevine varieties and rootstocks.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DE03FD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acquiring the aforementioned knowledge, students will be able to </w:t>
            </w:r>
            <w:r w:rsidR="009B3922">
              <w:rPr>
                <w:sz w:val="18"/>
                <w:szCs w:val="18"/>
              </w:rPr>
              <w:t>analyze</w:t>
            </w:r>
            <w:r w:rsidR="00D65253">
              <w:rPr>
                <w:sz w:val="18"/>
                <w:szCs w:val="18"/>
              </w:rPr>
              <w:t xml:space="preserve"> chose and </w:t>
            </w:r>
            <w:r>
              <w:rPr>
                <w:sz w:val="18"/>
                <w:szCs w:val="18"/>
              </w:rPr>
              <w:t xml:space="preserve"> </w:t>
            </w:r>
            <w:r w:rsidR="00D65253">
              <w:rPr>
                <w:sz w:val="18"/>
                <w:szCs w:val="18"/>
              </w:rPr>
              <w:t xml:space="preserve"> determine species and cultivars </w:t>
            </w:r>
            <w:r w:rsidR="009B3922">
              <w:rPr>
                <w:sz w:val="18"/>
                <w:szCs w:val="18"/>
              </w:rPr>
              <w:t>of grapevine</w:t>
            </w:r>
            <w:r w:rsidR="00D65253">
              <w:rPr>
                <w:sz w:val="18"/>
                <w:szCs w:val="18"/>
              </w:rPr>
              <w:t>, and furthermore be able to work in breeding program</w:t>
            </w:r>
            <w:r w:rsidR="009B3922">
              <w:rPr>
                <w:sz w:val="18"/>
                <w:szCs w:val="18"/>
              </w:rPr>
              <w:t>s</w:t>
            </w:r>
            <w:r w:rsidR="00D65253">
              <w:rPr>
                <w:sz w:val="18"/>
                <w:szCs w:val="18"/>
              </w:rPr>
              <w:t xml:space="preserve"> in the field of viticulture.</w:t>
            </w:r>
          </w:p>
          <w:p w:rsidR="005E42D1" w:rsidRDefault="005E42D1" w:rsidP="009E2BF4"/>
        </w:tc>
      </w:tr>
      <w:tr w:rsidR="005E42D1" w:rsidTr="00A615B9">
        <w:tc>
          <w:tcPr>
            <w:tcW w:w="9622" w:type="dxa"/>
            <w:gridSpan w:val="12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F2956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B3922" w:rsidRPr="009B3922" w:rsidRDefault="009B3922" w:rsidP="009B3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6F2956" w:rsidRDefault="00D65253" w:rsidP="009E2BF4">
            <w:pPr>
              <w:rPr>
                <w:rFonts w:ascii="Arial" w:hAnsi="Arial" w:cs="Arial"/>
              </w:rPr>
            </w:pP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6F2956">
              <w:rPr>
                <w:rFonts w:ascii="Arial" w:hAnsi="Arial" w:cs="Arial"/>
              </w:rPr>
              <w:t xml:space="preserve"> </w:t>
            </w:r>
          </w:p>
          <w:p w:rsidR="00D65253" w:rsidRDefault="00D65253" w:rsidP="00D65253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 xml:space="preserve">The </w:t>
            </w:r>
            <w:r w:rsidR="009B3922">
              <w:rPr>
                <w:rStyle w:val="hps"/>
                <w:rFonts w:ascii="Arial" w:hAnsi="Arial" w:cs="Arial"/>
                <w:sz w:val="16"/>
                <w:szCs w:val="16"/>
              </w:rPr>
              <w:t>term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systematics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of grapevine.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Species of the genus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i/>
                <w:sz w:val="16"/>
                <w:szCs w:val="16"/>
              </w:rPr>
              <w:t>Vitis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="009B3922">
              <w:rPr>
                <w:rStyle w:val="hps"/>
                <w:rFonts w:ascii="Arial" w:hAnsi="Arial" w:cs="Arial"/>
                <w:sz w:val="16"/>
                <w:szCs w:val="16"/>
              </w:rPr>
              <w:t xml:space="preserve">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ampelographic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description of varieties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their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applications.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Ampelographic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scheme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The application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descriptors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OIV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UPOV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IBPGR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and special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software.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Methods of molecular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biology in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Methods of analysis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agribiological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characteristics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varieties.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Analysis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of production and technological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properties.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Grape and berry analysis</w:t>
            </w:r>
            <w:r w:rsidR="009B3922">
              <w:rPr>
                <w:rFonts w:ascii="Arial" w:hAnsi="Arial" w:cs="Arial"/>
                <w:sz w:val="16"/>
                <w:szCs w:val="16"/>
              </w:rPr>
              <w:t>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Microvinification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Ampelograph</w:t>
            </w:r>
            <w:r w:rsidR="005E122C">
              <w:rPr>
                <w:rStyle w:val="hps"/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collections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Introduction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grapevine cultivars.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Clone selection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Hybridization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(objectives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, methods,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results).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The inheritance of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traits in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vines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Interspecies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hybridization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(objectives</w:t>
            </w:r>
            <w:r w:rsidRPr="006F295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results).</w:t>
            </w:r>
          </w:p>
          <w:p w:rsidR="009B3922" w:rsidRPr="006F2956" w:rsidRDefault="009B3922" w:rsidP="00D65253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</w:p>
          <w:p w:rsidR="006F2956" w:rsidRPr="006F2956" w:rsidRDefault="006F2956" w:rsidP="00D65253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</w:p>
          <w:p w:rsidR="006F2956" w:rsidRDefault="006F2956" w:rsidP="009B3922">
            <w:pPr>
              <w:jc w:val="both"/>
            </w:pPr>
            <w:r w:rsidRPr="006F2956">
              <w:rPr>
                <w:rStyle w:val="hps"/>
                <w:rFonts w:ascii="Arial" w:hAnsi="Arial" w:cs="Arial"/>
                <w:sz w:val="16"/>
              </w:rPr>
              <w:t>Practical lessons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="005E122C">
              <w:rPr>
                <w:rStyle w:val="hps"/>
                <w:rFonts w:ascii="Arial" w:hAnsi="Arial" w:cs="Arial"/>
                <w:sz w:val="16"/>
              </w:rPr>
              <w:t xml:space="preserve">are </w:t>
            </w:r>
            <w:r w:rsidR="005E122C" w:rsidRPr="006F2956">
              <w:rPr>
                <w:rStyle w:val="hps"/>
                <w:rFonts w:ascii="Arial" w:hAnsi="Arial" w:cs="Arial"/>
                <w:sz w:val="16"/>
              </w:rPr>
              <w:t>done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through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exercises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where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students independently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apply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methods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="009B3922">
              <w:rPr>
                <w:rFonts w:ascii="Arial" w:hAnsi="Arial" w:cs="Arial"/>
                <w:sz w:val="16"/>
              </w:rPr>
              <w:t xml:space="preserve">of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</w:rPr>
              <w:t>ampelographic</w:t>
            </w:r>
            <w:proofErr w:type="spellEnd"/>
            <w:r w:rsidRPr="006F29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</w:rPr>
              <w:t>analysis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and selection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of available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material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in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F2956">
              <w:rPr>
                <w:rStyle w:val="hps"/>
                <w:rFonts w:ascii="Arial" w:hAnsi="Arial" w:cs="Arial"/>
                <w:sz w:val="16"/>
              </w:rPr>
              <w:t>ampelograph</w:t>
            </w:r>
            <w:r w:rsidR="009B3922">
              <w:rPr>
                <w:rStyle w:val="hps"/>
                <w:rFonts w:ascii="Arial" w:hAnsi="Arial" w:cs="Arial"/>
                <w:sz w:val="16"/>
              </w:rPr>
              <w:t>y</w:t>
            </w:r>
            <w:proofErr w:type="spellEnd"/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 xml:space="preserve">collection </w:t>
            </w:r>
            <w:r w:rsidR="009B3922">
              <w:rPr>
                <w:rStyle w:val="hps"/>
                <w:rFonts w:ascii="Arial" w:hAnsi="Arial" w:cs="Arial"/>
                <w:sz w:val="16"/>
              </w:rPr>
              <w:t>at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the experimental field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>of the</w:t>
            </w:r>
            <w:r w:rsidRPr="006F2956">
              <w:rPr>
                <w:rFonts w:ascii="Arial" w:hAnsi="Arial" w:cs="Arial"/>
                <w:sz w:val="16"/>
              </w:rPr>
              <w:t xml:space="preserve"> </w:t>
            </w:r>
            <w:r w:rsidRPr="006F2956">
              <w:rPr>
                <w:rStyle w:val="hps"/>
                <w:rFonts w:ascii="Arial" w:hAnsi="Arial" w:cs="Arial"/>
                <w:sz w:val="16"/>
              </w:rPr>
              <w:t xml:space="preserve">Department </w:t>
            </w:r>
            <w:r>
              <w:rPr>
                <w:rStyle w:val="hps"/>
                <w:rFonts w:ascii="Arial" w:hAnsi="Arial" w:cs="Arial"/>
                <w:sz w:val="16"/>
              </w:rPr>
              <w:t>situated in Sremski Karlovci.</w:t>
            </w: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122C" w:rsidP="005E122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and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contemporary approach in classrooms and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collection in Sremski Karlovci.</w:t>
            </w: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5E122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12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122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5E12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5E122C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E12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5E122C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E12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122C" w:rsidRDefault="005E122C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E122C">
              <w:rPr>
                <w:sz w:val="18"/>
                <w:szCs w:val="16"/>
              </w:rPr>
              <w:t>Seminar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5E122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5E122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6F2956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98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151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6F2956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E42D1" w:rsidRPr="006F2956" w:rsidRDefault="006F2956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Cindrić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P.,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Korać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Nada,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Kovač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 V.</w:t>
            </w:r>
          </w:p>
        </w:tc>
        <w:tc>
          <w:tcPr>
            <w:tcW w:w="2151" w:type="dxa"/>
            <w:gridSpan w:val="3"/>
            <w:vAlign w:val="center"/>
          </w:tcPr>
          <w:p w:rsidR="005E42D1" w:rsidRPr="00D02E1F" w:rsidRDefault="006F2956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  <w:r w:rsidR="00A37D1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A37D1E">
              <w:rPr>
                <w:rFonts w:ascii="Arial" w:hAnsi="Arial" w:cs="Arial"/>
                <w:sz w:val="16"/>
                <w:szCs w:val="16"/>
              </w:rPr>
              <w:t>Metode</w:t>
            </w:r>
            <w:proofErr w:type="spellEnd"/>
            <w:r w:rsidR="00A37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7D1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A37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7D1E">
              <w:rPr>
                <w:rFonts w:ascii="Arial" w:hAnsi="Arial" w:cs="Arial"/>
                <w:sz w:val="16"/>
                <w:szCs w:val="16"/>
              </w:rPr>
              <w:t>rezultati</w:t>
            </w:r>
            <w:proofErr w:type="spellEnd"/>
            <w:r w:rsidR="00A37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7D1E">
              <w:rPr>
                <w:rFonts w:ascii="Arial" w:hAnsi="Arial" w:cs="Arial"/>
                <w:sz w:val="16"/>
                <w:szCs w:val="16"/>
              </w:rPr>
              <w:t>ispitivanja</w:t>
            </w:r>
            <w:proofErr w:type="spellEnd"/>
            <w:r w:rsidR="00A37D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A37D1E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</w:t>
            </w:r>
            <w:r w:rsidR="00B369B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tej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E42D1" w:rsidRPr="00D02E1F" w:rsidRDefault="00A37D1E" w:rsidP="00A37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02E1F" w:rsidTr="006F2956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02E1F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 P.</w:t>
            </w:r>
          </w:p>
        </w:tc>
        <w:tc>
          <w:tcPr>
            <w:tcW w:w="2151" w:type="dxa"/>
            <w:gridSpan w:val="3"/>
            <w:vAlign w:val="center"/>
          </w:tcPr>
          <w:p w:rsidR="00D02E1F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Specijalno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oplemenjivanje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voćaka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istraživanja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Partenon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D02E1F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A37D1E" w:rsidTr="006F2956">
        <w:tc>
          <w:tcPr>
            <w:tcW w:w="675" w:type="dxa"/>
            <w:vAlign w:val="center"/>
          </w:tcPr>
          <w:p w:rsidR="00A37D1E" w:rsidRPr="00D02E1F" w:rsidRDefault="00A37D1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37D1E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Žunić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</w:p>
        </w:tc>
        <w:tc>
          <w:tcPr>
            <w:tcW w:w="2151" w:type="dxa"/>
            <w:gridSpan w:val="3"/>
            <w:vAlign w:val="center"/>
          </w:tcPr>
          <w:p w:rsidR="00A37D1E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Posebno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Ampelografija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661" w:type="dxa"/>
            <w:gridSpan w:val="4"/>
            <w:vAlign w:val="center"/>
          </w:tcPr>
          <w:p w:rsidR="00A37D1E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Beogradu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Beograd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1150" w:type="dxa"/>
            <w:vAlign w:val="center"/>
          </w:tcPr>
          <w:p w:rsidR="00A37D1E" w:rsidRPr="00D02E1F" w:rsidRDefault="005E122C" w:rsidP="00A37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81DB0" w:rsidRDefault="00181DB0" w:rsidP="0018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</w:p>
          <w:p w:rsidR="001312B9" w:rsidRPr="001312B9" w:rsidRDefault="00181DB0" w:rsidP="0018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Fruit Growing and Viticulture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255EDE"/>
    <w:rsid w:val="0008374A"/>
    <w:rsid w:val="001055F2"/>
    <w:rsid w:val="001312B9"/>
    <w:rsid w:val="00181DB0"/>
    <w:rsid w:val="001F34D7"/>
    <w:rsid w:val="002319BC"/>
    <w:rsid w:val="00255EDE"/>
    <w:rsid w:val="002611DF"/>
    <w:rsid w:val="0028348F"/>
    <w:rsid w:val="00322F84"/>
    <w:rsid w:val="004666C8"/>
    <w:rsid w:val="004C1CC6"/>
    <w:rsid w:val="00535E50"/>
    <w:rsid w:val="00544574"/>
    <w:rsid w:val="005E122C"/>
    <w:rsid w:val="005E42D1"/>
    <w:rsid w:val="006F2956"/>
    <w:rsid w:val="00927F2D"/>
    <w:rsid w:val="00991673"/>
    <w:rsid w:val="009B28FB"/>
    <w:rsid w:val="009B3922"/>
    <w:rsid w:val="009E2BF4"/>
    <w:rsid w:val="00A37D1E"/>
    <w:rsid w:val="00AE67EE"/>
    <w:rsid w:val="00B369B0"/>
    <w:rsid w:val="00B72A20"/>
    <w:rsid w:val="00C21CE9"/>
    <w:rsid w:val="00CC0E96"/>
    <w:rsid w:val="00CC7AA9"/>
    <w:rsid w:val="00D02E1F"/>
    <w:rsid w:val="00D554D7"/>
    <w:rsid w:val="00D57E7D"/>
    <w:rsid w:val="00D65253"/>
    <w:rsid w:val="00DE03F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0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Jelena Kokovic</cp:lastModifiedBy>
  <cp:revision>5</cp:revision>
  <dcterms:created xsi:type="dcterms:W3CDTF">2014-12-24T08:30:00Z</dcterms:created>
  <dcterms:modified xsi:type="dcterms:W3CDTF">2014-12-24T10:55:00Z</dcterms:modified>
</cp:coreProperties>
</file>