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187BB1" w:rsidRPr="00B03C00" w:rsidTr="00F94DB3">
        <w:trPr>
          <w:trHeight w:val="420"/>
        </w:trPr>
        <w:tc>
          <w:tcPr>
            <w:tcW w:w="2318" w:type="dxa"/>
            <w:gridSpan w:val="2"/>
            <w:shd w:val="clear" w:color="auto" w:fill="C2D69B" w:themeFill="accent3" w:themeFillTint="99"/>
            <w:vAlign w:val="center"/>
          </w:tcPr>
          <w:p w:rsidR="00187BB1" w:rsidRPr="00B03C00" w:rsidRDefault="00187BB1" w:rsidP="00F94DB3">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187BB1" w:rsidRPr="009E13D9" w:rsidRDefault="00187BB1" w:rsidP="00F94DB3">
            <w:pPr>
              <w:jc w:val="center"/>
              <w:rPr>
                <w:rFonts w:ascii="Arial" w:eastAsia="Times New Roman" w:hAnsi="Arial" w:cs="Arial"/>
                <w:color w:val="000000"/>
                <w:sz w:val="24"/>
                <w:szCs w:val="24"/>
                <w:lang w:val="en-GB"/>
              </w:rPr>
            </w:pPr>
          </w:p>
          <w:p w:rsidR="00187BB1" w:rsidRPr="00A87CE5" w:rsidRDefault="00187BB1" w:rsidP="00F94DB3">
            <w:pPr>
              <w:jc w:val="center"/>
              <w:rPr>
                <w:rFonts w:ascii="Arial" w:hAnsi="Arial" w:cs="Arial"/>
                <w:b/>
                <w:sz w:val="24"/>
                <w:szCs w:val="24"/>
              </w:rPr>
            </w:pPr>
            <w:r w:rsidRPr="00A87CE5">
              <w:rPr>
                <w:rFonts w:ascii="Arial" w:hAnsi="Arial" w:cs="Arial"/>
                <w:b/>
                <w:sz w:val="24"/>
                <w:szCs w:val="24"/>
                <w:lang w:val="en-GB"/>
              </w:rPr>
              <w:t xml:space="preserve">Rural </w:t>
            </w:r>
            <w:r>
              <w:rPr>
                <w:rFonts w:ascii="Arial" w:hAnsi="Arial" w:cs="Arial"/>
                <w:b/>
                <w:sz w:val="24"/>
                <w:szCs w:val="24"/>
                <w:lang w:val="en-GB"/>
              </w:rPr>
              <w:t xml:space="preserve"> Sociology</w:t>
            </w:r>
          </w:p>
        </w:tc>
      </w:tr>
      <w:tr w:rsidR="00187BB1" w:rsidRPr="00B03C00" w:rsidTr="00F94DB3">
        <w:tc>
          <w:tcPr>
            <w:tcW w:w="2318" w:type="dxa"/>
            <w:gridSpan w:val="2"/>
            <w:vAlign w:val="center"/>
          </w:tcPr>
          <w:p w:rsidR="00187BB1" w:rsidRPr="006156EF" w:rsidRDefault="00187BB1" w:rsidP="00F94DB3">
            <w:pPr>
              <w:rPr>
                <w:rFonts w:ascii="Arial" w:hAnsi="Arial" w:cs="Arial"/>
                <w:bCs/>
                <w:sz w:val="16"/>
                <w:szCs w:val="16"/>
              </w:rPr>
            </w:pPr>
            <w:r>
              <w:rPr>
                <w:rFonts w:ascii="Arial" w:hAnsi="Arial" w:cs="Arial"/>
                <w:sz w:val="16"/>
                <w:szCs w:val="16"/>
                <w:lang w:val="en-GB"/>
              </w:rPr>
              <w:t xml:space="preserve">Course id: </w:t>
            </w:r>
            <w:r w:rsidRPr="006156EF">
              <w:rPr>
                <w:rFonts w:ascii="Arial" w:hAnsi="Arial" w:cs="Arial"/>
                <w:bCs/>
                <w:sz w:val="16"/>
                <w:szCs w:val="16"/>
              </w:rPr>
              <w:t>2МRR1I09</w:t>
            </w:r>
            <w:r w:rsidRPr="006156EF">
              <w:rPr>
                <w:rFonts w:ascii="Arial" w:hAnsi="Arial" w:cs="Arial"/>
                <w:sz w:val="16"/>
                <w:szCs w:val="16"/>
              </w:rPr>
              <w:t xml:space="preserve"> </w:t>
            </w:r>
          </w:p>
        </w:tc>
        <w:tc>
          <w:tcPr>
            <w:tcW w:w="7302" w:type="dxa"/>
            <w:gridSpan w:val="9"/>
            <w:vMerge/>
          </w:tcPr>
          <w:p w:rsidR="00187BB1" w:rsidRPr="00B03C00" w:rsidRDefault="00187BB1" w:rsidP="00F94DB3">
            <w:pPr>
              <w:rPr>
                <w:rFonts w:ascii="Arial" w:hAnsi="Arial" w:cs="Arial"/>
                <w:lang w:val="en-GB"/>
              </w:rPr>
            </w:pPr>
          </w:p>
        </w:tc>
      </w:tr>
      <w:tr w:rsidR="00187BB1" w:rsidRPr="00B03C00" w:rsidTr="00F94DB3">
        <w:tc>
          <w:tcPr>
            <w:tcW w:w="2318" w:type="dxa"/>
            <w:gridSpan w:val="2"/>
            <w:vAlign w:val="center"/>
          </w:tcPr>
          <w:p w:rsidR="00187BB1" w:rsidRPr="00CE5816" w:rsidRDefault="00187BB1" w:rsidP="00F94DB3">
            <w:pPr>
              <w:rPr>
                <w:rFonts w:ascii="Arial" w:hAnsi="Arial" w:cs="Arial"/>
                <w:sz w:val="16"/>
                <w:szCs w:val="16"/>
              </w:rPr>
            </w:pPr>
            <w:r w:rsidRPr="00B03C00">
              <w:rPr>
                <w:rFonts w:ascii="Arial" w:hAnsi="Arial" w:cs="Arial"/>
                <w:sz w:val="16"/>
                <w:szCs w:val="16"/>
                <w:lang w:val="en-GB"/>
              </w:rPr>
              <w:t>Number of ECTS:</w:t>
            </w:r>
            <w:r>
              <w:rPr>
                <w:rFonts w:ascii="Arial" w:hAnsi="Arial" w:cs="Arial"/>
                <w:sz w:val="16"/>
                <w:szCs w:val="16"/>
                <w:lang w:val="en-GB"/>
              </w:rPr>
              <w:t xml:space="preserve"> </w:t>
            </w:r>
            <w:r>
              <w:rPr>
                <w:rFonts w:ascii="Arial" w:hAnsi="Arial" w:cs="Arial"/>
                <w:bCs/>
                <w:sz w:val="16"/>
                <w:szCs w:val="16"/>
              </w:rPr>
              <w:t>6</w:t>
            </w:r>
          </w:p>
        </w:tc>
        <w:tc>
          <w:tcPr>
            <w:tcW w:w="7302" w:type="dxa"/>
            <w:gridSpan w:val="9"/>
            <w:vMerge/>
          </w:tcPr>
          <w:p w:rsidR="00187BB1" w:rsidRPr="00B03C00" w:rsidRDefault="00187BB1" w:rsidP="00F94DB3">
            <w:pPr>
              <w:rPr>
                <w:rFonts w:ascii="Arial" w:hAnsi="Arial" w:cs="Arial"/>
                <w:lang w:val="en-GB"/>
              </w:rPr>
            </w:pPr>
          </w:p>
        </w:tc>
      </w:tr>
      <w:tr w:rsidR="00187BB1" w:rsidRPr="00B03C00" w:rsidTr="00F94DB3">
        <w:trPr>
          <w:trHeight w:val="94"/>
        </w:trPr>
        <w:tc>
          <w:tcPr>
            <w:tcW w:w="2318" w:type="dxa"/>
            <w:gridSpan w:val="2"/>
            <w:vAlign w:val="center"/>
          </w:tcPr>
          <w:p w:rsidR="00187BB1" w:rsidRPr="00B25814" w:rsidRDefault="00187BB1" w:rsidP="00F94DB3">
            <w:pPr>
              <w:rPr>
                <w:rFonts w:ascii="Arial" w:hAnsi="Arial" w:cs="Arial"/>
                <w:sz w:val="16"/>
                <w:szCs w:val="16"/>
              </w:rPr>
            </w:pPr>
            <w:r>
              <w:rPr>
                <w:rFonts w:ascii="Arial" w:hAnsi="Arial" w:cs="Arial"/>
                <w:sz w:val="16"/>
                <w:szCs w:val="16"/>
                <w:lang w:val="en-GB"/>
              </w:rPr>
              <w:t>Teacher:</w:t>
            </w:r>
          </w:p>
        </w:tc>
        <w:tc>
          <w:tcPr>
            <w:tcW w:w="7302" w:type="dxa"/>
            <w:gridSpan w:val="9"/>
          </w:tcPr>
          <w:p w:rsidR="00187BB1" w:rsidRPr="00162CD8" w:rsidRDefault="00187BB1" w:rsidP="00F94DB3">
            <w:pPr>
              <w:tabs>
                <w:tab w:val="left" w:pos="2444"/>
              </w:tabs>
              <w:rPr>
                <w:rFonts w:ascii="Arial" w:hAnsi="Arial" w:cs="Arial"/>
                <w:sz w:val="20"/>
                <w:szCs w:val="20"/>
              </w:rPr>
            </w:pPr>
            <w:r>
              <w:rPr>
                <w:rFonts w:ascii="Arial" w:hAnsi="Arial" w:cs="Arial"/>
                <w:sz w:val="20"/>
                <w:szCs w:val="20"/>
                <w:lang w:val="en-GB"/>
              </w:rPr>
              <w:t xml:space="preserve">Assistant </w:t>
            </w:r>
            <w:r w:rsidRPr="00162CD8">
              <w:rPr>
                <w:rFonts w:ascii="Arial" w:hAnsi="Arial" w:cs="Arial"/>
                <w:sz w:val="20"/>
                <w:szCs w:val="20"/>
                <w:lang w:val="en-GB"/>
              </w:rPr>
              <w:t xml:space="preserve">Professor Dejan R. </w:t>
            </w:r>
            <w:proofErr w:type="spellStart"/>
            <w:r w:rsidRPr="00162CD8">
              <w:rPr>
                <w:rFonts w:ascii="Arial" w:hAnsi="Arial" w:cs="Arial"/>
                <w:sz w:val="20"/>
                <w:szCs w:val="20"/>
                <w:lang w:val="en-GB"/>
              </w:rPr>
              <w:t>Janković</w:t>
            </w:r>
            <w:proofErr w:type="spellEnd"/>
            <w:r w:rsidRPr="00162CD8">
              <w:rPr>
                <w:rFonts w:ascii="Arial" w:hAnsi="Arial" w:cs="Arial"/>
                <w:sz w:val="20"/>
                <w:szCs w:val="20"/>
                <w:lang w:val="en-GB"/>
              </w:rPr>
              <w:t>, PhD</w:t>
            </w:r>
          </w:p>
        </w:tc>
      </w:tr>
      <w:tr w:rsidR="00187BB1" w:rsidRPr="00B03C00" w:rsidTr="00F94DB3">
        <w:trPr>
          <w:trHeight w:val="94"/>
        </w:trPr>
        <w:tc>
          <w:tcPr>
            <w:tcW w:w="2318" w:type="dxa"/>
            <w:gridSpan w:val="2"/>
            <w:vAlign w:val="center"/>
          </w:tcPr>
          <w:p w:rsidR="00187BB1" w:rsidRPr="009F09F2" w:rsidRDefault="00187BB1" w:rsidP="00F94DB3">
            <w:pPr>
              <w:rPr>
                <w:rFonts w:ascii="Arial" w:hAnsi="Arial" w:cs="Arial"/>
                <w:sz w:val="16"/>
                <w:szCs w:val="16"/>
              </w:rPr>
            </w:pPr>
            <w:r>
              <w:rPr>
                <w:rFonts w:ascii="Arial" w:hAnsi="Arial" w:cs="Arial"/>
                <w:sz w:val="16"/>
                <w:szCs w:val="16"/>
                <w:lang w:val="en-GB"/>
              </w:rPr>
              <w:t>Assistant:</w:t>
            </w:r>
          </w:p>
        </w:tc>
        <w:tc>
          <w:tcPr>
            <w:tcW w:w="7302" w:type="dxa"/>
            <w:gridSpan w:val="9"/>
          </w:tcPr>
          <w:p w:rsidR="00187BB1" w:rsidRPr="00162CD8" w:rsidRDefault="00187BB1" w:rsidP="00F94DB3">
            <w:pPr>
              <w:rPr>
                <w:rFonts w:ascii="Arial" w:hAnsi="Arial" w:cs="Arial"/>
                <w:sz w:val="20"/>
                <w:szCs w:val="20"/>
              </w:rPr>
            </w:pPr>
            <w:proofErr w:type="spellStart"/>
            <w:r w:rsidRPr="00162CD8">
              <w:rPr>
                <w:rFonts w:ascii="Arial" w:hAnsi="Arial" w:cs="Arial"/>
                <w:sz w:val="20"/>
                <w:szCs w:val="20"/>
                <w:lang w:val="en-GB"/>
              </w:rPr>
              <w:t>Marica</w:t>
            </w:r>
            <w:proofErr w:type="spellEnd"/>
            <w:r w:rsidRPr="00162CD8">
              <w:rPr>
                <w:rFonts w:ascii="Arial" w:hAnsi="Arial" w:cs="Arial"/>
                <w:sz w:val="20"/>
                <w:szCs w:val="20"/>
                <w:lang w:val="en-GB"/>
              </w:rPr>
              <w:t xml:space="preserve"> D. </w:t>
            </w:r>
            <w:proofErr w:type="spellStart"/>
            <w:r w:rsidRPr="00162CD8">
              <w:rPr>
                <w:rFonts w:ascii="Arial" w:hAnsi="Arial" w:cs="Arial"/>
                <w:sz w:val="20"/>
                <w:szCs w:val="20"/>
                <w:lang w:val="en-GB"/>
              </w:rPr>
              <w:t>Petrović</w:t>
            </w:r>
            <w:proofErr w:type="spellEnd"/>
            <w:r w:rsidRPr="00162CD8">
              <w:rPr>
                <w:rFonts w:ascii="Arial" w:hAnsi="Arial" w:cs="Arial"/>
                <w:sz w:val="20"/>
                <w:szCs w:val="20"/>
                <w:lang w:val="en-GB"/>
              </w:rPr>
              <w:t xml:space="preserve">, MSc; Marina D. </w:t>
            </w:r>
            <w:proofErr w:type="spellStart"/>
            <w:r w:rsidRPr="00162CD8">
              <w:rPr>
                <w:rFonts w:ascii="Arial" w:hAnsi="Arial" w:cs="Arial"/>
                <w:sz w:val="20"/>
                <w:szCs w:val="20"/>
                <w:lang w:val="en-GB"/>
              </w:rPr>
              <w:t>Novakov</w:t>
            </w:r>
            <w:proofErr w:type="spellEnd"/>
            <w:r w:rsidRPr="00162CD8">
              <w:rPr>
                <w:rFonts w:ascii="Arial" w:hAnsi="Arial" w:cs="Arial"/>
                <w:sz w:val="20"/>
                <w:szCs w:val="20"/>
                <w:lang w:val="en-GB"/>
              </w:rPr>
              <w:t>, MSc</w:t>
            </w:r>
          </w:p>
        </w:tc>
      </w:tr>
      <w:tr w:rsidR="00187BB1" w:rsidRPr="00B03C00" w:rsidTr="00F94DB3">
        <w:tc>
          <w:tcPr>
            <w:tcW w:w="2318" w:type="dxa"/>
            <w:gridSpan w:val="2"/>
            <w:tcBorders>
              <w:bottom w:val="single" w:sz="4" w:space="0" w:color="auto"/>
            </w:tcBorders>
            <w:vAlign w:val="center"/>
          </w:tcPr>
          <w:p w:rsidR="00187BB1" w:rsidRPr="00B03C00" w:rsidRDefault="00187BB1" w:rsidP="00F94DB3">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187BB1" w:rsidRPr="00B03C00" w:rsidRDefault="00187BB1" w:rsidP="00F94DB3">
            <w:pPr>
              <w:rPr>
                <w:rFonts w:ascii="Arial" w:hAnsi="Arial" w:cs="Arial"/>
                <w:lang w:val="en-GB"/>
              </w:rPr>
            </w:pPr>
            <w:r>
              <w:rPr>
                <w:rFonts w:ascii="Arial" w:hAnsi="Arial" w:cs="Arial"/>
                <w:sz w:val="18"/>
                <w:szCs w:val="18"/>
                <w:lang w:val="en-GB"/>
              </w:rPr>
              <w:t>Elective</w:t>
            </w:r>
          </w:p>
        </w:tc>
      </w:tr>
      <w:tr w:rsidR="00187BB1" w:rsidRPr="00B03C00" w:rsidTr="00F94DB3">
        <w:trPr>
          <w:trHeight w:val="227"/>
        </w:trPr>
        <w:tc>
          <w:tcPr>
            <w:tcW w:w="9620" w:type="dxa"/>
            <w:gridSpan w:val="11"/>
            <w:tcBorders>
              <w:bottom w:val="single" w:sz="4" w:space="0" w:color="auto"/>
            </w:tcBorders>
            <w:shd w:val="clear" w:color="auto" w:fill="C2D69B" w:themeFill="accent3" w:themeFillTint="99"/>
            <w:vAlign w:val="center"/>
          </w:tcPr>
          <w:p w:rsidR="00187BB1" w:rsidRPr="00B03C00" w:rsidRDefault="00187BB1" w:rsidP="00F94DB3">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187BB1" w:rsidRPr="00B03C00" w:rsidTr="00F94DB3">
        <w:trPr>
          <w:trHeight w:val="227"/>
        </w:trPr>
        <w:tc>
          <w:tcPr>
            <w:tcW w:w="2318"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Other classes:</w:t>
            </w:r>
          </w:p>
        </w:tc>
      </w:tr>
      <w:tr w:rsidR="00187BB1" w:rsidRPr="00B03C00" w:rsidTr="00F94DB3">
        <w:tc>
          <w:tcPr>
            <w:tcW w:w="2318" w:type="dxa"/>
            <w:gridSpan w:val="2"/>
            <w:shd w:val="clear" w:color="auto" w:fill="C2D69B" w:themeFill="accent3" w:themeFillTint="99"/>
            <w:vAlign w:val="center"/>
          </w:tcPr>
          <w:p w:rsidR="00187BB1" w:rsidRPr="00B03C00" w:rsidRDefault="00187BB1" w:rsidP="00F94DB3">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187BB1" w:rsidRPr="00B03C00" w:rsidRDefault="00187BB1" w:rsidP="00F94DB3">
            <w:pPr>
              <w:rPr>
                <w:rFonts w:ascii="Arial" w:hAnsi="Arial" w:cs="Arial"/>
                <w:sz w:val="16"/>
                <w:szCs w:val="16"/>
                <w:lang w:val="en-GB"/>
              </w:rPr>
            </w:pPr>
            <w:r>
              <w:rPr>
                <w:rFonts w:ascii="Arial" w:hAnsi="Arial" w:cs="Arial"/>
                <w:sz w:val="16"/>
                <w:szCs w:val="16"/>
                <w:lang w:val="en-GB"/>
              </w:rPr>
              <w:t xml:space="preserve">Management of Fruit and </w:t>
            </w:r>
            <w:proofErr w:type="spellStart"/>
            <w:r>
              <w:rPr>
                <w:rFonts w:ascii="Arial" w:hAnsi="Arial" w:cs="Arial"/>
                <w:sz w:val="16"/>
                <w:szCs w:val="16"/>
                <w:lang w:val="en-GB"/>
              </w:rPr>
              <w:t>Viticultural</w:t>
            </w:r>
            <w:proofErr w:type="spellEnd"/>
            <w:r>
              <w:rPr>
                <w:rFonts w:ascii="Arial" w:hAnsi="Arial" w:cs="Arial"/>
                <w:sz w:val="16"/>
                <w:szCs w:val="16"/>
                <w:lang w:val="en-GB"/>
              </w:rPr>
              <w:t xml:space="preserve"> Production, Management of Crop Production </w:t>
            </w:r>
          </w:p>
        </w:tc>
      </w:tr>
      <w:tr w:rsidR="00187BB1" w:rsidRPr="00B03C00" w:rsidTr="00F94DB3">
        <w:tc>
          <w:tcPr>
            <w:tcW w:w="9620" w:type="dxa"/>
            <w:gridSpan w:val="11"/>
          </w:tcPr>
          <w:p w:rsidR="00187BB1" w:rsidRDefault="00187BB1" w:rsidP="00F94DB3">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187BB1" w:rsidRPr="002A1B2D" w:rsidRDefault="00187BB1" w:rsidP="00F94DB3">
            <w:pPr>
              <w:ind w:left="284"/>
              <w:jc w:val="both"/>
              <w:rPr>
                <w:rFonts w:ascii="Arial" w:hAnsi="Arial" w:cs="Arial"/>
                <w:sz w:val="16"/>
                <w:szCs w:val="16"/>
                <w:lang w:val="en-GB"/>
              </w:rPr>
            </w:pPr>
            <w:r>
              <w:rPr>
                <w:rFonts w:ascii="Arial" w:hAnsi="Arial" w:cs="Arial"/>
                <w:sz w:val="16"/>
                <w:szCs w:val="16"/>
                <w:lang w:val="en-GB"/>
              </w:rPr>
              <w:t xml:space="preserve">During this course, students should learn that sociological and demographic features of rural population, rural social groups and rural culture are some of the most important resources of rural development. Students should gain the knowledge and skills in research and development methods which facilitate the comprehension of these factors and create competencies for work in the field of improving the quality of life in rural areas.   </w:t>
            </w:r>
          </w:p>
        </w:tc>
      </w:tr>
      <w:tr w:rsidR="00187BB1" w:rsidRPr="00B03C00" w:rsidTr="00F94DB3">
        <w:tc>
          <w:tcPr>
            <w:tcW w:w="9620" w:type="dxa"/>
            <w:gridSpan w:val="11"/>
          </w:tcPr>
          <w:p w:rsidR="00187BB1" w:rsidRDefault="00187BB1" w:rsidP="00F94DB3">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187BB1" w:rsidRPr="009A1238" w:rsidRDefault="00187BB1" w:rsidP="00F94DB3">
            <w:pPr>
              <w:ind w:left="284"/>
              <w:jc w:val="both"/>
              <w:rPr>
                <w:rFonts w:ascii="Arial" w:hAnsi="Arial" w:cs="Arial"/>
                <w:sz w:val="16"/>
                <w:szCs w:val="16"/>
                <w:lang w:val="en-GB"/>
              </w:rPr>
            </w:pPr>
            <w:r>
              <w:rPr>
                <w:rFonts w:ascii="Arial" w:hAnsi="Arial" w:cs="Arial"/>
                <w:sz w:val="16"/>
                <w:szCs w:val="16"/>
                <w:lang w:val="en-GB"/>
              </w:rPr>
              <w:t>Upon successful</w:t>
            </w:r>
            <w:r w:rsidRPr="00C75A9F">
              <w:rPr>
                <w:rFonts w:ascii="Arial" w:hAnsi="Arial" w:cs="Arial"/>
                <w:sz w:val="16"/>
                <w:szCs w:val="16"/>
                <w:lang w:val="en-GB"/>
              </w:rPr>
              <w:t xml:space="preserve"> completion of the course, students</w:t>
            </w:r>
            <w:r>
              <w:rPr>
                <w:rFonts w:ascii="Arial" w:hAnsi="Arial" w:cs="Arial"/>
                <w:sz w:val="16"/>
                <w:szCs w:val="16"/>
                <w:lang w:val="en-GB"/>
              </w:rPr>
              <w:t xml:space="preserve"> will comprehend the issues caused by socio-demographic structures and trends of rural population movement, and their potential as a basis of rural development; they will understand the needs, inclinations and problems of different social groups in rural areas; they will gain skills to communicate with target groups with various interests and levels of understanding; they will be able to plan and use the best methods of social researches and approaches; they will provide analyses and recommendations to the local leaders, state authorities and other interested subjects; they will be capable of analysing families and gender issues, identifying distinctive features of poverty in rural areas, understanding the reasons for social exclusion and its effects on rural development, and confronting poverty and exclusion; they will be able to identify various factors of local community development (economic, social, cultural, etc.) and use this knowledge in the process of rural development planning; they will understand the concept of extension service and their role in implementing development projects; they will know how to implement different extension methods depending on the content and problems at hand.     </w:t>
            </w:r>
            <w:r w:rsidRPr="00C75A9F">
              <w:rPr>
                <w:rFonts w:ascii="Arial" w:hAnsi="Arial" w:cs="Arial"/>
                <w:sz w:val="16"/>
                <w:szCs w:val="16"/>
                <w:lang w:val="en-GB"/>
              </w:rPr>
              <w:t xml:space="preserve"> </w:t>
            </w:r>
          </w:p>
        </w:tc>
      </w:tr>
      <w:tr w:rsidR="00187BB1" w:rsidRPr="00B03C00" w:rsidTr="00F94DB3">
        <w:tc>
          <w:tcPr>
            <w:tcW w:w="9620" w:type="dxa"/>
            <w:gridSpan w:val="11"/>
          </w:tcPr>
          <w:p w:rsidR="00187BB1" w:rsidRPr="003935F3" w:rsidRDefault="00187BB1" w:rsidP="00F94DB3">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187BB1" w:rsidRPr="00162CD8" w:rsidRDefault="00187BB1" w:rsidP="00F94DB3">
            <w:pPr>
              <w:pStyle w:val="ListParagraph"/>
              <w:ind w:left="284"/>
              <w:jc w:val="both"/>
              <w:rPr>
                <w:rFonts w:ascii="Arial" w:hAnsi="Arial" w:cs="Arial"/>
                <w:sz w:val="16"/>
                <w:szCs w:val="16"/>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Pr>
                <w:rFonts w:ascii="Arial" w:hAnsi="Arial" w:cs="Arial"/>
                <w:sz w:val="16"/>
                <w:szCs w:val="16"/>
                <w:lang w:val="en-GB"/>
              </w:rPr>
              <w:t>Sociological and demographic features of rural population</w:t>
            </w:r>
            <w:r>
              <w:rPr>
                <w:rFonts w:ascii="Arial" w:hAnsi="Arial" w:cs="Arial"/>
                <w:sz w:val="16"/>
                <w:szCs w:val="16"/>
              </w:rPr>
              <w:t xml:space="preserve">: Basic demographic categories of rural population; household characteristics; demographic transition; </w:t>
            </w:r>
            <w:proofErr w:type="spellStart"/>
            <w:r w:rsidRPr="009516DE">
              <w:rPr>
                <w:rFonts w:ascii="Arial" w:hAnsi="Arial" w:cs="Arial"/>
                <w:iCs/>
                <w:sz w:val="16"/>
                <w:szCs w:val="16"/>
              </w:rPr>
              <w:t>deagrarisation</w:t>
            </w:r>
            <w:proofErr w:type="spellEnd"/>
            <w:r>
              <w:rPr>
                <w:rFonts w:ascii="Arial" w:hAnsi="Arial" w:cs="Arial"/>
                <w:iCs/>
                <w:sz w:val="16"/>
                <w:szCs w:val="16"/>
              </w:rPr>
              <w:t xml:space="preserve">, depopulation (population aging, emptying of rural areas), migrations and migration features; 2. Social groups in rural areas: senior population, young population – status, problems, importance for the development of local rural communities, rural families, women in rural areas, ; agricultural cooperatives and rural development; 3. Poverty, social exclusion and gender issues; poverty types and characteristics; types and reasons of social exclusion; </w:t>
            </w:r>
            <w:proofErr w:type="spellStart"/>
            <w:r>
              <w:rPr>
                <w:rFonts w:ascii="Arial" w:hAnsi="Arial" w:cs="Arial"/>
                <w:iCs/>
                <w:sz w:val="16"/>
                <w:szCs w:val="16"/>
              </w:rPr>
              <w:t>marginalised</w:t>
            </w:r>
            <w:proofErr w:type="spellEnd"/>
            <w:r>
              <w:rPr>
                <w:rFonts w:ascii="Arial" w:hAnsi="Arial" w:cs="Arial"/>
                <w:iCs/>
                <w:sz w:val="16"/>
                <w:szCs w:val="16"/>
              </w:rPr>
              <w:t xml:space="preserve"> social groups; family and gender issues in rural communities; means of confronting social exclusion; 4. Endogenous and exogenous factors of rural development: rural development “top-to-bottom” and “bottom-to-top”; the non-endogenous approach to rural development; territorial rural development and local partnerships; 5. The concept of extension work (</w:t>
            </w:r>
            <w:proofErr w:type="spellStart"/>
            <w:r>
              <w:rPr>
                <w:rFonts w:ascii="Arial" w:hAnsi="Arial" w:cs="Arial"/>
                <w:iCs/>
                <w:sz w:val="16"/>
                <w:szCs w:val="16"/>
              </w:rPr>
              <w:t>organisational</w:t>
            </w:r>
            <w:proofErr w:type="spellEnd"/>
            <w:r>
              <w:rPr>
                <w:rFonts w:ascii="Arial" w:hAnsi="Arial" w:cs="Arial"/>
                <w:iCs/>
                <w:sz w:val="16"/>
                <w:szCs w:val="16"/>
              </w:rPr>
              <w:t xml:space="preserve"> stages, the purpose and essence of agricultural extension) 6. Extension methods (individual, group, mass); 7. Methods of social research (data gathering, processing, and interpretation; participation techniques); 8. Participation approach and development methods; 9. The history of agricultural relationship in the past 100 years; agricultural reforms in different periods and their impact on the current agricultural structure; Comparison with the European experience and practice; 10. Rural culture: tradition, local knowledge, knowledge transfer between generations, innovative processes, </w:t>
            </w:r>
            <w:proofErr w:type="spellStart"/>
            <w:r>
              <w:rPr>
                <w:rFonts w:ascii="Arial" w:hAnsi="Arial" w:cs="Arial"/>
                <w:iCs/>
                <w:sz w:val="16"/>
                <w:szCs w:val="16"/>
              </w:rPr>
              <w:t>behavioural</w:t>
            </w:r>
            <w:proofErr w:type="spellEnd"/>
            <w:r>
              <w:rPr>
                <w:rFonts w:ascii="Arial" w:hAnsi="Arial" w:cs="Arial"/>
                <w:iCs/>
                <w:sz w:val="16"/>
                <w:szCs w:val="16"/>
              </w:rPr>
              <w:t xml:space="preserve"> attitudes and norms, religion, tensions between the traditional and globalised external culture, culture as a local development resource        </w:t>
            </w:r>
          </w:p>
        </w:tc>
      </w:tr>
      <w:tr w:rsidR="00187BB1" w:rsidRPr="00B03C00" w:rsidTr="00F94DB3">
        <w:tc>
          <w:tcPr>
            <w:tcW w:w="9620" w:type="dxa"/>
            <w:gridSpan w:val="11"/>
            <w:tcBorders>
              <w:bottom w:val="single" w:sz="4" w:space="0" w:color="auto"/>
            </w:tcBorders>
          </w:tcPr>
          <w:p w:rsidR="00187BB1" w:rsidRPr="003935F3" w:rsidRDefault="00187BB1" w:rsidP="00F94DB3">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187BB1" w:rsidRPr="000C472B" w:rsidRDefault="00187BB1" w:rsidP="00F94DB3">
            <w:pPr>
              <w:pStyle w:val="ListParagraph"/>
              <w:ind w:left="284"/>
              <w:rPr>
                <w:rFonts w:ascii="Arial" w:hAnsi="Arial" w:cs="Arial"/>
                <w:sz w:val="16"/>
                <w:szCs w:val="16"/>
                <w:lang w:val="en-GB"/>
              </w:rPr>
            </w:pPr>
            <w:r>
              <w:rPr>
                <w:rFonts w:ascii="Arial" w:hAnsi="Arial" w:cs="Arial"/>
                <w:sz w:val="16"/>
                <w:szCs w:val="16"/>
                <w:lang w:val="en-GB"/>
              </w:rPr>
              <w:t>Lectures, s</w:t>
            </w:r>
            <w:r w:rsidRPr="00A21898">
              <w:rPr>
                <w:rFonts w:ascii="Arial" w:hAnsi="Arial" w:cs="Arial"/>
                <w:sz w:val="16"/>
                <w:szCs w:val="16"/>
                <w:lang w:val="en-GB"/>
              </w:rPr>
              <w:t>eminar papers, group work and discussions</w:t>
            </w:r>
            <w:r>
              <w:rPr>
                <w:rFonts w:ascii="Arial" w:hAnsi="Arial" w:cs="Arial"/>
                <w:sz w:val="16"/>
                <w:szCs w:val="16"/>
                <w:lang w:val="en-GB"/>
              </w:rPr>
              <w:t>.</w:t>
            </w:r>
          </w:p>
        </w:tc>
      </w:tr>
      <w:tr w:rsidR="00187BB1" w:rsidRPr="00B03C00" w:rsidTr="00F94DB3">
        <w:tc>
          <w:tcPr>
            <w:tcW w:w="9620" w:type="dxa"/>
            <w:gridSpan w:val="11"/>
            <w:tcBorders>
              <w:bottom w:val="single" w:sz="4" w:space="0" w:color="auto"/>
            </w:tcBorders>
            <w:shd w:val="clear" w:color="auto" w:fill="C2D69B" w:themeFill="accent3" w:themeFillTint="99"/>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187BB1" w:rsidRPr="00B03C00" w:rsidTr="00F94DB3">
        <w:tc>
          <w:tcPr>
            <w:tcW w:w="2590" w:type="dxa"/>
            <w:gridSpan w:val="3"/>
            <w:shd w:val="clear" w:color="auto" w:fill="auto"/>
            <w:vAlign w:val="center"/>
          </w:tcPr>
          <w:p w:rsidR="00187BB1" w:rsidRPr="00B03C00" w:rsidRDefault="00187BB1" w:rsidP="00F94DB3">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187BB1" w:rsidRPr="00B03C00" w:rsidRDefault="00187BB1" w:rsidP="00F94DB3">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Points</w:t>
            </w:r>
          </w:p>
        </w:tc>
      </w:tr>
      <w:tr w:rsidR="00187BB1" w:rsidRPr="00B03C00" w:rsidTr="00F94DB3">
        <w:trPr>
          <w:trHeight w:val="155"/>
        </w:trPr>
        <w:tc>
          <w:tcPr>
            <w:tcW w:w="2590" w:type="dxa"/>
            <w:gridSpan w:val="3"/>
            <w:shd w:val="clear" w:color="auto" w:fill="auto"/>
            <w:vAlign w:val="center"/>
          </w:tcPr>
          <w:p w:rsidR="00187BB1" w:rsidRPr="00A6460C" w:rsidRDefault="00187BB1" w:rsidP="00F94DB3">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187BB1" w:rsidRPr="00BD3DBD" w:rsidRDefault="00187BB1" w:rsidP="00F94DB3">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shd w:val="clear" w:color="auto" w:fill="auto"/>
            <w:vAlign w:val="center"/>
          </w:tcPr>
          <w:p w:rsidR="00187BB1" w:rsidRPr="000C472B" w:rsidRDefault="00187BB1" w:rsidP="00F94DB3">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187BB1" w:rsidRPr="0025107E" w:rsidRDefault="00187BB1" w:rsidP="00F94DB3">
            <w:pPr>
              <w:jc w:val="center"/>
              <w:rPr>
                <w:rFonts w:ascii="Arial" w:hAnsi="Arial" w:cs="Arial"/>
                <w:b/>
                <w:sz w:val="16"/>
                <w:szCs w:val="16"/>
              </w:rPr>
            </w:pPr>
            <w:r>
              <w:rPr>
                <w:rFonts w:ascii="Arial" w:hAnsi="Arial" w:cs="Arial"/>
                <w:b/>
                <w:sz w:val="16"/>
                <w:szCs w:val="16"/>
              </w:rPr>
              <w:t>-</w:t>
            </w:r>
          </w:p>
        </w:tc>
      </w:tr>
      <w:tr w:rsidR="00187BB1" w:rsidRPr="00B03C00" w:rsidTr="00F94DB3">
        <w:trPr>
          <w:trHeight w:val="155"/>
        </w:trPr>
        <w:tc>
          <w:tcPr>
            <w:tcW w:w="2590" w:type="dxa"/>
            <w:gridSpan w:val="3"/>
            <w:shd w:val="clear" w:color="auto" w:fill="auto"/>
            <w:vAlign w:val="center"/>
          </w:tcPr>
          <w:p w:rsidR="00187BB1" w:rsidRPr="0025107E" w:rsidRDefault="00187BB1" w:rsidP="00F94DB3">
            <w:pPr>
              <w:rPr>
                <w:rFonts w:ascii="Arial" w:hAnsi="Arial" w:cs="Arial"/>
                <w:bCs/>
                <w:sz w:val="16"/>
                <w:szCs w:val="16"/>
              </w:rPr>
            </w:pPr>
            <w:r>
              <w:rPr>
                <w:rFonts w:ascii="Arial" w:hAnsi="Arial" w:cs="Arial"/>
                <w:bCs/>
                <w:sz w:val="16"/>
                <w:szCs w:val="16"/>
              </w:rPr>
              <w:t xml:space="preserve">Tutorial </w:t>
            </w:r>
            <w:r w:rsidRPr="00A6460C">
              <w:rPr>
                <w:rFonts w:ascii="Arial" w:hAnsi="Arial" w:cs="Arial"/>
                <w:sz w:val="16"/>
                <w:szCs w:val="16"/>
                <w:lang w:val="en-GB"/>
              </w:rPr>
              <w:t xml:space="preserve"> </w:t>
            </w:r>
            <w:r>
              <w:rPr>
                <w:rFonts w:ascii="Arial" w:hAnsi="Arial" w:cs="Arial"/>
                <w:sz w:val="16"/>
                <w:szCs w:val="16"/>
                <w:lang w:val="en-GB"/>
              </w:rPr>
              <w:t>activity</w:t>
            </w:r>
          </w:p>
        </w:tc>
        <w:tc>
          <w:tcPr>
            <w:tcW w:w="1125" w:type="dxa"/>
            <w:shd w:val="clear" w:color="auto" w:fill="auto"/>
            <w:vAlign w:val="center"/>
          </w:tcPr>
          <w:p w:rsidR="00187BB1" w:rsidRDefault="00187BB1" w:rsidP="00F94DB3">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187BB1" w:rsidRPr="00BD3DBD" w:rsidRDefault="00187BB1" w:rsidP="00F94DB3">
            <w:pPr>
              <w:jc w:val="center"/>
              <w:rPr>
                <w:rFonts w:ascii="Arial" w:hAnsi="Arial" w:cs="Arial"/>
                <w:b/>
                <w:bCs/>
                <w:sz w:val="16"/>
                <w:szCs w:val="16"/>
              </w:rPr>
            </w:pPr>
            <w:r>
              <w:rPr>
                <w:rFonts w:ascii="Arial" w:hAnsi="Arial" w:cs="Arial"/>
                <w:b/>
                <w:bCs/>
                <w:sz w:val="16"/>
                <w:szCs w:val="16"/>
              </w:rPr>
              <w:t>20</w:t>
            </w:r>
          </w:p>
        </w:tc>
        <w:tc>
          <w:tcPr>
            <w:tcW w:w="2408" w:type="dxa"/>
            <w:gridSpan w:val="2"/>
            <w:shd w:val="clear" w:color="auto" w:fill="auto"/>
            <w:vAlign w:val="center"/>
          </w:tcPr>
          <w:p w:rsidR="00187BB1" w:rsidRPr="000C472B" w:rsidRDefault="00187BB1" w:rsidP="00F94DB3">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187BB1" w:rsidRPr="00572F25" w:rsidRDefault="00187BB1" w:rsidP="00F94DB3">
            <w:pPr>
              <w:jc w:val="center"/>
              <w:rPr>
                <w:rFonts w:ascii="Arial" w:hAnsi="Arial" w:cs="Arial"/>
                <w:b/>
                <w:iCs/>
                <w:sz w:val="16"/>
                <w:szCs w:val="16"/>
              </w:rPr>
            </w:pPr>
            <w:r>
              <w:rPr>
                <w:rFonts w:ascii="Arial" w:hAnsi="Arial" w:cs="Arial"/>
                <w:b/>
                <w:iCs/>
                <w:sz w:val="16"/>
                <w:szCs w:val="16"/>
              </w:rPr>
              <w:t>30</w:t>
            </w:r>
          </w:p>
        </w:tc>
      </w:tr>
      <w:tr w:rsidR="00187BB1" w:rsidRPr="00B03C00" w:rsidTr="00F94DB3">
        <w:trPr>
          <w:trHeight w:val="82"/>
        </w:trPr>
        <w:tc>
          <w:tcPr>
            <w:tcW w:w="2590" w:type="dxa"/>
            <w:gridSpan w:val="3"/>
            <w:tcBorders>
              <w:bottom w:val="single" w:sz="4" w:space="0" w:color="auto"/>
            </w:tcBorders>
            <w:shd w:val="clear" w:color="auto" w:fill="auto"/>
            <w:vAlign w:val="center"/>
          </w:tcPr>
          <w:p w:rsidR="00187BB1" w:rsidRPr="00B03C00" w:rsidRDefault="00187BB1" w:rsidP="00F94DB3">
            <w:pPr>
              <w:rPr>
                <w:rFonts w:ascii="Arial" w:hAnsi="Arial" w:cs="Arial"/>
                <w:sz w:val="16"/>
                <w:szCs w:val="16"/>
                <w:lang w:val="en-GB"/>
              </w:rPr>
            </w:pPr>
            <w:r>
              <w:rPr>
                <w:rFonts w:ascii="Arial" w:hAnsi="Arial" w:cs="Arial"/>
                <w:sz w:val="16"/>
                <w:szCs w:val="16"/>
                <w:lang w:val="en-GB"/>
              </w:rPr>
              <w:t xml:space="preserve">Tutorial </w:t>
            </w:r>
            <w:r w:rsidRPr="00A6460C">
              <w:rPr>
                <w:rFonts w:ascii="Arial" w:hAnsi="Arial" w:cs="Arial"/>
                <w:sz w:val="16"/>
                <w:szCs w:val="16"/>
                <w:lang w:val="en-GB"/>
              </w:rPr>
              <w:t>attendance</w:t>
            </w:r>
          </w:p>
        </w:tc>
        <w:tc>
          <w:tcPr>
            <w:tcW w:w="1125" w:type="dxa"/>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87BB1" w:rsidRPr="004674BE" w:rsidRDefault="00187BB1" w:rsidP="00F94DB3">
            <w:pPr>
              <w:jc w:val="center"/>
              <w:rPr>
                <w:rFonts w:ascii="Arial" w:hAnsi="Arial" w:cs="Arial"/>
                <w:b/>
                <w:sz w:val="16"/>
                <w:szCs w:val="16"/>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r>
      <w:tr w:rsidR="00187BB1" w:rsidRPr="00B03C00" w:rsidTr="00F94DB3">
        <w:trPr>
          <w:trHeight w:val="82"/>
        </w:trPr>
        <w:tc>
          <w:tcPr>
            <w:tcW w:w="2590" w:type="dxa"/>
            <w:gridSpan w:val="3"/>
            <w:tcBorders>
              <w:bottom w:val="single" w:sz="4" w:space="0" w:color="auto"/>
            </w:tcBorders>
            <w:shd w:val="clear" w:color="auto" w:fill="auto"/>
            <w:vAlign w:val="center"/>
          </w:tcPr>
          <w:p w:rsidR="00187BB1" w:rsidRPr="00B03C00" w:rsidRDefault="00187BB1" w:rsidP="00F94DB3">
            <w:pPr>
              <w:rPr>
                <w:rFonts w:ascii="Arial" w:hAnsi="Arial" w:cs="Arial"/>
                <w:sz w:val="16"/>
                <w:szCs w:val="16"/>
                <w:lang w:val="en-GB"/>
              </w:rPr>
            </w:pPr>
            <w:r>
              <w:rPr>
                <w:rFonts w:ascii="Arial" w:hAnsi="Arial" w:cs="Arial"/>
                <w:sz w:val="16"/>
                <w:szCs w:val="16"/>
                <w:lang w:val="en-GB"/>
              </w:rPr>
              <w:t>Seminar paper</w:t>
            </w:r>
          </w:p>
        </w:tc>
        <w:tc>
          <w:tcPr>
            <w:tcW w:w="1125" w:type="dxa"/>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87BB1" w:rsidRPr="00BD3DBD" w:rsidRDefault="00187BB1" w:rsidP="00F94DB3">
            <w:pPr>
              <w:jc w:val="center"/>
              <w:rPr>
                <w:rFonts w:ascii="Arial" w:hAnsi="Arial" w:cs="Arial"/>
                <w:b/>
                <w:sz w:val="16"/>
                <w:szCs w:val="16"/>
                <w:lang w:val="en-GB"/>
              </w:rPr>
            </w:pPr>
            <w:r>
              <w:rPr>
                <w:rFonts w:ascii="Arial" w:hAnsi="Arial" w:cs="Arial"/>
                <w:b/>
                <w:sz w:val="16"/>
                <w:szCs w:val="16"/>
                <w:lang w:val="en-GB"/>
              </w:rPr>
              <w:t>30</w:t>
            </w:r>
          </w:p>
        </w:tc>
        <w:tc>
          <w:tcPr>
            <w:tcW w:w="2408"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r>
      <w:tr w:rsidR="00187BB1" w:rsidRPr="00B03C00" w:rsidTr="00F94DB3">
        <w:trPr>
          <w:trHeight w:val="82"/>
        </w:trPr>
        <w:tc>
          <w:tcPr>
            <w:tcW w:w="2590" w:type="dxa"/>
            <w:gridSpan w:val="3"/>
            <w:tcBorders>
              <w:bottom w:val="single" w:sz="4" w:space="0" w:color="auto"/>
            </w:tcBorders>
            <w:shd w:val="clear" w:color="auto" w:fill="auto"/>
            <w:vAlign w:val="center"/>
          </w:tcPr>
          <w:p w:rsidR="00187BB1" w:rsidRPr="00B03C00" w:rsidRDefault="00187BB1" w:rsidP="00F94DB3">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187BB1" w:rsidRPr="00B03C00" w:rsidRDefault="00187BB1" w:rsidP="00F94DB3">
            <w:pPr>
              <w:jc w:val="center"/>
              <w:rPr>
                <w:rFonts w:ascii="Arial" w:hAnsi="Arial" w:cs="Arial"/>
                <w:sz w:val="16"/>
                <w:szCs w:val="16"/>
                <w:lang w:val="en-GB"/>
              </w:rPr>
            </w:pPr>
          </w:p>
        </w:tc>
      </w:tr>
      <w:tr w:rsidR="00187BB1" w:rsidRPr="00B03C00" w:rsidTr="00F94DB3">
        <w:tc>
          <w:tcPr>
            <w:tcW w:w="9620" w:type="dxa"/>
            <w:gridSpan w:val="11"/>
            <w:shd w:val="clear" w:color="auto" w:fill="C2D69B" w:themeFill="accent3" w:themeFillTint="99"/>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187BB1" w:rsidRPr="00B03C00" w:rsidTr="00F94DB3">
        <w:tc>
          <w:tcPr>
            <w:tcW w:w="800" w:type="dxa"/>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187BB1" w:rsidRPr="00B03C00" w:rsidRDefault="00187BB1" w:rsidP="00F94DB3">
            <w:pPr>
              <w:jc w:val="center"/>
              <w:rPr>
                <w:rFonts w:ascii="Arial" w:hAnsi="Arial" w:cs="Arial"/>
                <w:sz w:val="16"/>
                <w:szCs w:val="16"/>
                <w:lang w:val="en-GB"/>
              </w:rPr>
            </w:pPr>
            <w:r w:rsidRPr="00B03C00">
              <w:rPr>
                <w:rFonts w:ascii="Arial" w:hAnsi="Arial" w:cs="Arial"/>
                <w:sz w:val="16"/>
                <w:szCs w:val="16"/>
                <w:lang w:val="en-GB"/>
              </w:rPr>
              <w:t>Year</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w:t>
            </w:r>
          </w:p>
        </w:tc>
        <w:tc>
          <w:tcPr>
            <w:tcW w:w="1790" w:type="dxa"/>
            <w:gridSpan w:val="2"/>
            <w:vAlign w:val="center"/>
          </w:tcPr>
          <w:p w:rsidR="00187BB1" w:rsidRPr="00F27C61" w:rsidRDefault="00187BB1" w:rsidP="00F94DB3">
            <w:pPr>
              <w:jc w:val="center"/>
              <w:rPr>
                <w:rFonts w:ascii="Arial" w:hAnsi="Arial" w:cs="Arial"/>
                <w:sz w:val="14"/>
                <w:szCs w:val="14"/>
                <w:lang w:val="en-GB"/>
              </w:rPr>
            </w:pPr>
            <w:proofErr w:type="spellStart"/>
            <w:r w:rsidRPr="00F27C61">
              <w:rPr>
                <w:rFonts w:ascii="Arial" w:eastAsia="Times New Roman" w:hAnsi="Arial" w:cs="Arial"/>
                <w:sz w:val="14"/>
                <w:szCs w:val="14"/>
                <w:lang w:val="en-GB" w:eastAsia="sr-Latn-CS"/>
              </w:rPr>
              <w:t>Mitrovi</w:t>
            </w:r>
            <w:proofErr w:type="spellEnd"/>
            <w:r w:rsidRPr="00F27C61">
              <w:rPr>
                <w:rFonts w:ascii="Arial" w:eastAsia="Times New Roman" w:hAnsi="Arial" w:cs="Arial"/>
                <w:sz w:val="14"/>
                <w:szCs w:val="14"/>
                <w:lang w:val="sr-Cyrl-CS" w:eastAsia="sr-Latn-CS"/>
              </w:rPr>
              <w:t xml:space="preserve">ć, </w:t>
            </w:r>
            <w:r w:rsidRPr="00F27C61">
              <w:rPr>
                <w:rFonts w:ascii="Arial" w:eastAsia="Times New Roman" w:hAnsi="Arial" w:cs="Arial"/>
                <w:sz w:val="14"/>
                <w:szCs w:val="14"/>
                <w:lang w:val="en-GB" w:eastAsia="sr-Latn-CS"/>
              </w:rPr>
              <w:t>M</w:t>
            </w:r>
            <w:r w:rsidRPr="00F27C61">
              <w:rPr>
                <w:rFonts w:ascii="Arial" w:eastAsia="Times New Roman" w:hAnsi="Arial" w:cs="Arial"/>
                <w:sz w:val="14"/>
                <w:szCs w:val="14"/>
                <w:lang w:val="sr-Cyrl-CS" w:eastAsia="sr-Latn-CS"/>
              </w:rPr>
              <w:t>.</w:t>
            </w:r>
          </w:p>
        </w:tc>
        <w:tc>
          <w:tcPr>
            <w:tcW w:w="2381" w:type="dxa"/>
            <w:gridSpan w:val="3"/>
            <w:vAlign w:val="center"/>
          </w:tcPr>
          <w:p w:rsidR="00187BB1" w:rsidRPr="00F27C61" w:rsidRDefault="00187BB1" w:rsidP="00F94DB3">
            <w:pPr>
              <w:jc w:val="center"/>
              <w:rPr>
                <w:rFonts w:ascii="Arial" w:hAnsi="Arial" w:cs="Arial"/>
                <w:sz w:val="14"/>
                <w:szCs w:val="14"/>
                <w:lang w:val="en-GB"/>
              </w:rPr>
            </w:pPr>
            <w:proofErr w:type="spellStart"/>
            <w:r w:rsidRPr="00F27C61">
              <w:rPr>
                <w:rFonts w:ascii="Arial" w:eastAsia="Times New Roman" w:hAnsi="Arial" w:cs="Arial"/>
                <w:sz w:val="14"/>
                <w:szCs w:val="14"/>
                <w:lang w:val="en-GB" w:eastAsia="sr-Latn-CS"/>
              </w:rPr>
              <w:t>Sociologija</w:t>
            </w:r>
            <w:proofErr w:type="spellEnd"/>
            <w:r w:rsidRPr="00F27C61">
              <w:rPr>
                <w:rFonts w:ascii="Arial" w:eastAsia="Times New Roman" w:hAnsi="Arial" w:cs="Arial"/>
                <w:sz w:val="14"/>
                <w:szCs w:val="14"/>
                <w:lang w:val="sr-Cyrl-CS" w:eastAsia="sr-Latn-CS"/>
              </w:rPr>
              <w:t xml:space="preserve"> </w:t>
            </w:r>
            <w:proofErr w:type="spellStart"/>
            <w:r w:rsidRPr="00F27C61">
              <w:rPr>
                <w:rFonts w:ascii="Arial" w:eastAsia="Times New Roman" w:hAnsi="Arial" w:cs="Arial"/>
                <w:sz w:val="14"/>
                <w:szCs w:val="14"/>
                <w:lang w:val="en-GB" w:eastAsia="sr-Latn-CS"/>
              </w:rPr>
              <w:t>sela</w:t>
            </w:r>
            <w:proofErr w:type="spellEnd"/>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Cyrl-CS" w:eastAsia="sr-Latn-CS"/>
              </w:rPr>
            </w:pPr>
            <w:r w:rsidRPr="00F27C61">
              <w:rPr>
                <w:rFonts w:ascii="Arial" w:eastAsia="Times New Roman" w:hAnsi="Arial" w:cs="Arial"/>
                <w:sz w:val="14"/>
                <w:szCs w:val="14"/>
                <w:lang w:val="en-GB" w:eastAsia="sr-Latn-CS"/>
              </w:rPr>
              <w:t>SDS</w:t>
            </w:r>
            <w:r w:rsidRPr="00F27C61">
              <w:rPr>
                <w:rFonts w:ascii="Arial" w:eastAsia="Times New Roman" w:hAnsi="Arial" w:cs="Arial"/>
                <w:sz w:val="14"/>
                <w:szCs w:val="14"/>
                <w:lang w:val="sr-Cyrl-CS" w:eastAsia="sr-Latn-CS"/>
              </w:rPr>
              <w:t xml:space="preserve">. </w:t>
            </w:r>
            <w:r w:rsidRPr="00F27C61">
              <w:rPr>
                <w:rFonts w:ascii="Arial" w:eastAsia="Times New Roman" w:hAnsi="Arial" w:cs="Arial"/>
                <w:sz w:val="14"/>
                <w:szCs w:val="14"/>
                <w:lang w:val="en-GB" w:eastAsia="sr-Latn-CS"/>
              </w:rPr>
              <w:t>Beograd</w:t>
            </w:r>
            <w:r w:rsidRPr="00F27C61">
              <w:rPr>
                <w:rFonts w:ascii="Arial" w:eastAsia="Times New Roman" w:hAnsi="Arial" w:cs="Arial"/>
                <w:sz w:val="14"/>
                <w:szCs w:val="14"/>
                <w:lang w:val="sr-Cyrl-CS" w:eastAsia="sr-Latn-CS"/>
              </w:rPr>
              <w:t>.</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1998</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2.</w:t>
            </w:r>
          </w:p>
        </w:tc>
        <w:tc>
          <w:tcPr>
            <w:tcW w:w="1790" w:type="dxa"/>
            <w:gridSpan w:val="2"/>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Cvejić, S., Babović, M., Petrović, M., Bogdanov, N., Vuković, O</w:t>
            </w:r>
          </w:p>
        </w:tc>
        <w:tc>
          <w:tcPr>
            <w:tcW w:w="2381" w:type="dxa"/>
            <w:gridSpan w:val="3"/>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Socijalna isključenost u ruralnim oblastima Srbije</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Latn-CS" w:eastAsia="sr-Latn-CS"/>
              </w:rPr>
            </w:pPr>
            <w:r w:rsidRPr="00F27C61">
              <w:rPr>
                <w:rFonts w:ascii="Arial" w:eastAsia="Times New Roman" w:hAnsi="Arial" w:cs="Arial"/>
                <w:sz w:val="14"/>
                <w:szCs w:val="14"/>
                <w:lang w:val="sr-Latn-CS" w:eastAsia="sr-Latn-CS"/>
              </w:rPr>
              <w:t>UNDP Srbija, Sektor za inkluzivni razvoj, Beograd</w:t>
            </w:r>
          </w:p>
          <w:p w:rsidR="00187BB1" w:rsidRPr="00F27C61" w:rsidRDefault="00187BB1" w:rsidP="00F94DB3">
            <w:pPr>
              <w:jc w:val="center"/>
              <w:rPr>
                <w:rFonts w:ascii="Arial" w:hAnsi="Arial" w:cs="Arial"/>
                <w:sz w:val="14"/>
                <w:szCs w:val="14"/>
                <w:lang w:val="en-GB"/>
              </w:rPr>
            </w:pP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2010</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3.</w:t>
            </w:r>
          </w:p>
        </w:tc>
        <w:tc>
          <w:tcPr>
            <w:tcW w:w="1790" w:type="dxa"/>
            <w:gridSpan w:val="2"/>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Woods, M.</w:t>
            </w:r>
          </w:p>
        </w:tc>
        <w:tc>
          <w:tcPr>
            <w:tcW w:w="2381" w:type="dxa"/>
            <w:gridSpan w:val="3"/>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Rural Geography. Processes, Responses and Experiences in Rural Reconstructing</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Latn-CS" w:eastAsia="sr-Latn-CS"/>
              </w:rPr>
            </w:pPr>
            <w:r w:rsidRPr="00F27C61">
              <w:rPr>
                <w:rFonts w:ascii="Arial" w:eastAsia="Times New Roman" w:hAnsi="Arial" w:cs="Arial"/>
                <w:sz w:val="14"/>
                <w:szCs w:val="14"/>
                <w:lang w:val="sr-Latn-CS" w:eastAsia="sr-Latn-CS"/>
              </w:rPr>
              <w:t>Sage Publications. London.</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2005</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lastRenderedPageBreak/>
              <w:t>4.</w:t>
            </w:r>
          </w:p>
        </w:tc>
        <w:tc>
          <w:tcPr>
            <w:tcW w:w="1790" w:type="dxa"/>
            <w:gridSpan w:val="2"/>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Miladinović M.</w:t>
            </w:r>
          </w:p>
        </w:tc>
        <w:tc>
          <w:tcPr>
            <w:tcW w:w="2381" w:type="dxa"/>
            <w:gridSpan w:val="3"/>
            <w:vAlign w:val="center"/>
          </w:tcPr>
          <w:p w:rsidR="00187BB1" w:rsidRPr="00F27C61" w:rsidRDefault="00187BB1" w:rsidP="00F94DB3">
            <w:pPr>
              <w:jc w:val="center"/>
              <w:rPr>
                <w:rFonts w:ascii="Arial" w:hAnsi="Arial" w:cs="Arial"/>
                <w:sz w:val="14"/>
                <w:szCs w:val="14"/>
              </w:rPr>
            </w:pPr>
            <w:r w:rsidRPr="00F27C61">
              <w:rPr>
                <w:rFonts w:ascii="Arial" w:eastAsia="Times New Roman" w:hAnsi="Arial" w:cs="Arial"/>
                <w:sz w:val="14"/>
                <w:szCs w:val="14"/>
                <w:lang w:val="sr-Latn-CS" w:eastAsia="sr-Latn-CS"/>
              </w:rPr>
              <w:t>Stari u selu – ruralnosociološko istraživanje u selima Srednjeg Banata</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Latn-CS" w:eastAsia="sr-Latn-CS"/>
              </w:rPr>
            </w:pPr>
            <w:r w:rsidRPr="00F27C61">
              <w:rPr>
                <w:rFonts w:ascii="Arial" w:eastAsia="Times New Roman" w:hAnsi="Arial" w:cs="Arial"/>
                <w:sz w:val="14"/>
                <w:szCs w:val="14"/>
                <w:lang w:val="sr-Latn-CS" w:eastAsia="sr-Latn-CS"/>
              </w:rPr>
              <w:t>Poljoprivredni fakultet. Novi Sad.</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2010</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5.</w:t>
            </w:r>
          </w:p>
        </w:tc>
        <w:tc>
          <w:tcPr>
            <w:tcW w:w="1790" w:type="dxa"/>
            <w:gridSpan w:val="2"/>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Marković – Krstić, S.</w:t>
            </w:r>
          </w:p>
        </w:tc>
        <w:tc>
          <w:tcPr>
            <w:tcW w:w="2381" w:type="dxa"/>
            <w:gridSpan w:val="3"/>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Teorijski pristupi i orijentacije u proučavanju omladine</w:t>
            </w:r>
          </w:p>
        </w:tc>
        <w:tc>
          <w:tcPr>
            <w:tcW w:w="3528" w:type="dxa"/>
            <w:gridSpan w:val="4"/>
            <w:vAlign w:val="center"/>
          </w:tcPr>
          <w:p w:rsidR="00187BB1" w:rsidRPr="00F27C61" w:rsidRDefault="00187BB1" w:rsidP="00F94DB3">
            <w:pPr>
              <w:jc w:val="center"/>
              <w:rPr>
                <w:rFonts w:ascii="Arial" w:hAnsi="Arial" w:cs="Arial"/>
                <w:sz w:val="14"/>
                <w:szCs w:val="14"/>
                <w:lang w:val="en-GB"/>
              </w:rPr>
            </w:pPr>
            <w:r w:rsidRPr="00F27C61">
              <w:rPr>
                <w:rFonts w:ascii="Arial" w:eastAsia="Times New Roman" w:hAnsi="Arial" w:cs="Arial"/>
                <w:sz w:val="14"/>
                <w:szCs w:val="14"/>
                <w:lang w:val="sr-Latn-CS" w:eastAsia="sr-Latn-CS"/>
              </w:rPr>
              <w:t>Godišnjak za sociologiju, god.V, br.5, Filozofski fakultet, Niš.</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2009</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6.</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Jentsch, B., Shucksmith, M., (ed.)</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Young people in Rural Areas of Europe</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Latn-CS" w:eastAsia="sr-Latn-CS"/>
              </w:rPr>
            </w:pPr>
            <w:r w:rsidRPr="00F27C61">
              <w:rPr>
                <w:rFonts w:ascii="Arial" w:eastAsia="Times New Roman" w:hAnsi="Arial" w:cs="Arial"/>
                <w:sz w:val="14"/>
                <w:szCs w:val="14"/>
                <w:lang w:val="sr-Latn-CS" w:eastAsia="sr-Latn-CS"/>
              </w:rPr>
              <w:t>Ashgate Publishing Limited, Hants, England, Ashgate Publishing Company, Burlington, USA</w:t>
            </w:r>
          </w:p>
          <w:p w:rsidR="00187BB1" w:rsidRPr="00F27C61" w:rsidRDefault="00187BB1" w:rsidP="00F94DB3">
            <w:pPr>
              <w:jc w:val="center"/>
              <w:rPr>
                <w:rFonts w:ascii="Arial" w:hAnsi="Arial" w:cs="Arial"/>
                <w:bCs/>
                <w:sz w:val="14"/>
                <w:szCs w:val="14"/>
                <w:lang w:val="en-GB"/>
              </w:rPr>
            </w:pP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2004</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7.</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Mili</w:t>
            </w:r>
            <w:r w:rsidRPr="00F27C61">
              <w:rPr>
                <w:rFonts w:ascii="Arial" w:eastAsia="Times New Roman" w:hAnsi="Arial" w:cs="Arial"/>
                <w:sz w:val="14"/>
                <w:szCs w:val="14"/>
                <w:lang w:val="sr-Cyrl-CS" w:eastAsia="sr-Latn-CS"/>
              </w:rPr>
              <w:t xml:space="preserve">ć, </w:t>
            </w:r>
            <w:r w:rsidRPr="00F27C61">
              <w:rPr>
                <w:rFonts w:ascii="Arial" w:eastAsia="Times New Roman" w:hAnsi="Arial" w:cs="Arial"/>
                <w:sz w:val="14"/>
                <w:szCs w:val="14"/>
                <w:lang w:val="sr-Latn-CS" w:eastAsia="sr-Latn-CS"/>
              </w:rPr>
              <w:t>An</w:t>
            </w:r>
            <w:r w:rsidRPr="00F27C61">
              <w:rPr>
                <w:rFonts w:ascii="Arial" w:eastAsia="Times New Roman" w:hAnsi="Arial" w:cs="Arial"/>
                <w:sz w:val="14"/>
                <w:szCs w:val="14"/>
                <w:lang w:val="sr-Cyrl-CS" w:eastAsia="sr-Latn-CS"/>
              </w:rPr>
              <w:t>đ</w:t>
            </w:r>
            <w:r w:rsidRPr="00F27C61">
              <w:rPr>
                <w:rFonts w:ascii="Arial" w:eastAsia="Times New Roman" w:hAnsi="Arial" w:cs="Arial"/>
                <w:sz w:val="14"/>
                <w:szCs w:val="14"/>
                <w:lang w:val="sr-Latn-CS" w:eastAsia="sr-Latn-CS"/>
              </w:rPr>
              <w:t>elka</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i/>
                <w:iCs/>
                <w:sz w:val="14"/>
                <w:szCs w:val="14"/>
                <w:lang w:val="sr-Latn-CS" w:eastAsia="sr-Latn-CS"/>
              </w:rPr>
              <w:t>Sociologija</w:t>
            </w:r>
            <w:r w:rsidRPr="00F27C61">
              <w:rPr>
                <w:rFonts w:ascii="Arial" w:eastAsia="Times New Roman" w:hAnsi="Arial" w:cs="Arial"/>
                <w:i/>
                <w:iCs/>
                <w:sz w:val="14"/>
                <w:szCs w:val="14"/>
                <w:lang w:val="sr-Cyrl-CS" w:eastAsia="sr-Latn-CS"/>
              </w:rPr>
              <w:t xml:space="preserve"> </w:t>
            </w:r>
            <w:r w:rsidRPr="00F27C61">
              <w:rPr>
                <w:rFonts w:ascii="Arial" w:eastAsia="Times New Roman" w:hAnsi="Arial" w:cs="Arial"/>
                <w:i/>
                <w:iCs/>
                <w:sz w:val="14"/>
                <w:szCs w:val="14"/>
                <w:lang w:val="sr-Latn-CS" w:eastAsia="sr-Latn-CS"/>
              </w:rPr>
              <w:t>porodice</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Cyrl-CS" w:eastAsia="sr-Latn-CS"/>
              </w:rPr>
            </w:pPr>
            <w:r w:rsidRPr="00F27C61">
              <w:rPr>
                <w:rFonts w:ascii="Arial" w:eastAsia="Times New Roman" w:hAnsi="Arial" w:cs="Arial"/>
                <w:sz w:val="14"/>
                <w:szCs w:val="14"/>
                <w:lang w:val="sr-Latn-CS" w:eastAsia="sr-Latn-CS"/>
              </w:rPr>
              <w:t>Beograd</w:t>
            </w:r>
            <w:r w:rsidRPr="00F27C61">
              <w:rPr>
                <w:rFonts w:ascii="Arial" w:eastAsia="Times New Roman" w:hAnsi="Arial" w:cs="Arial"/>
                <w:sz w:val="14"/>
                <w:szCs w:val="14"/>
                <w:lang w:val="sr-Cyrl-CS" w:eastAsia="sr-Latn-CS"/>
              </w:rPr>
              <w:t>: Č</w:t>
            </w:r>
            <w:r w:rsidRPr="00F27C61">
              <w:rPr>
                <w:rFonts w:ascii="Arial" w:eastAsia="Times New Roman" w:hAnsi="Arial" w:cs="Arial"/>
                <w:sz w:val="14"/>
                <w:szCs w:val="14"/>
                <w:lang w:val="sr-Latn-CS" w:eastAsia="sr-Latn-CS"/>
              </w:rPr>
              <w:t>igoja</w:t>
            </w:r>
            <w:r w:rsidRPr="00F27C61">
              <w:rPr>
                <w:rFonts w:ascii="Arial" w:eastAsia="Times New Roman" w:hAnsi="Arial" w:cs="Arial"/>
                <w:sz w:val="14"/>
                <w:szCs w:val="14"/>
                <w:lang w:val="sr-Cyrl-CS" w:eastAsia="sr-Latn-CS"/>
              </w:rPr>
              <w:t>.</w:t>
            </w:r>
          </w:p>
          <w:p w:rsidR="00187BB1" w:rsidRPr="00F27C61" w:rsidRDefault="00187BB1" w:rsidP="00F94DB3">
            <w:pPr>
              <w:jc w:val="center"/>
              <w:rPr>
                <w:rFonts w:ascii="Arial" w:hAnsi="Arial" w:cs="Arial"/>
                <w:bCs/>
                <w:sz w:val="14"/>
                <w:szCs w:val="14"/>
                <w:lang w:val="en-GB"/>
              </w:rPr>
            </w:pP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2001</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8.</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Cyrl-CS" w:eastAsia="sr-Latn-CS"/>
              </w:rPr>
              <w:t>Novakov, Marina</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i/>
                <w:sz w:val="14"/>
                <w:szCs w:val="14"/>
                <w:lang w:val="sr-Cyrl-CS" w:eastAsia="sr-Latn-CS"/>
              </w:rPr>
              <w:t>Porodični i društveni položaj majke u selu</w:t>
            </w:r>
          </w:p>
        </w:tc>
        <w:tc>
          <w:tcPr>
            <w:tcW w:w="3528" w:type="dxa"/>
            <w:gridSpan w:val="4"/>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Cyrl-CS" w:eastAsia="sr-Latn-CS"/>
              </w:rPr>
              <w:t>Novi Sad: Poljoprivredni fakultet</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2011</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9.</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Cyrl-CS" w:eastAsia="sr-Latn-CS"/>
              </w:rPr>
              <w:t>Tomanović, Smiljka (priredila)</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i/>
                <w:iCs/>
                <w:sz w:val="14"/>
                <w:szCs w:val="14"/>
                <w:lang w:val="sr-Cyrl-CS" w:eastAsia="sr-Latn-CS"/>
              </w:rPr>
              <w:t>Društvo u previranju – Sociološke studije nekih aspekata društvene transformacije u Srbiji</w:t>
            </w:r>
          </w:p>
        </w:tc>
        <w:tc>
          <w:tcPr>
            <w:tcW w:w="3528" w:type="dxa"/>
            <w:gridSpan w:val="4"/>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Cyrl-CS" w:eastAsia="sr-Latn-CS"/>
              </w:rPr>
              <w:t>Beograd: ISI FF</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2006</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10.</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Šljukić, S.</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Seljak i zadruga u ravnici</w:t>
            </w:r>
          </w:p>
        </w:tc>
        <w:tc>
          <w:tcPr>
            <w:tcW w:w="3528" w:type="dxa"/>
            <w:gridSpan w:val="4"/>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Mediterran Publishing. Novi Sad.</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2009</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11.</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Woods, M.</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Rural Geography. Processes, Responses and Experiences in Rural Reconstructing</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Latn-CS" w:eastAsia="sr-Latn-CS"/>
              </w:rPr>
            </w:pPr>
            <w:r w:rsidRPr="00F27C61">
              <w:rPr>
                <w:rFonts w:ascii="Arial" w:eastAsia="Times New Roman" w:hAnsi="Arial" w:cs="Arial"/>
                <w:sz w:val="14"/>
                <w:szCs w:val="14"/>
                <w:lang w:val="sr-Latn-CS" w:eastAsia="sr-Latn-CS"/>
              </w:rPr>
              <w:t>Sage Publications. London.</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2005</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12.</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Cloke, P, Marsden, T. and P. H. Mooney (ed).</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Handbook of rural studies</w:t>
            </w:r>
          </w:p>
        </w:tc>
        <w:tc>
          <w:tcPr>
            <w:tcW w:w="3528" w:type="dxa"/>
            <w:gridSpan w:val="4"/>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Sage Publications. London</w:t>
            </w:r>
          </w:p>
        </w:tc>
        <w:tc>
          <w:tcPr>
            <w:tcW w:w="1121" w:type="dxa"/>
            <w:vAlign w:val="center"/>
          </w:tcPr>
          <w:p w:rsidR="00187BB1" w:rsidRPr="00F27C61" w:rsidRDefault="00187BB1" w:rsidP="00F94DB3">
            <w:pPr>
              <w:jc w:val="center"/>
              <w:rPr>
                <w:rFonts w:ascii="Arial" w:hAnsi="Arial" w:cs="Arial"/>
                <w:sz w:val="14"/>
                <w:szCs w:val="14"/>
                <w:lang w:val="en-GB"/>
              </w:rPr>
            </w:pP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13.</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Petrović, Ž. I D. Janković</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Poljoprivredno savetodavstvo Srbije – stanje, problemi i mogućnosti reforme</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bCs/>
                <w:sz w:val="14"/>
                <w:szCs w:val="14"/>
                <w:lang w:val="sr-Latn-CS" w:eastAsia="sr-Latn-CS"/>
              </w:rPr>
            </w:pPr>
            <w:r w:rsidRPr="00F27C61">
              <w:rPr>
                <w:rFonts w:ascii="Arial" w:eastAsia="Times New Roman" w:hAnsi="Arial" w:cs="Arial"/>
                <w:bCs/>
                <w:sz w:val="14"/>
                <w:szCs w:val="14"/>
                <w:lang w:val="sr-Latn-CS" w:eastAsia="sr-Latn-CS"/>
              </w:rPr>
              <w:t xml:space="preserve">Poljoprivredni fakultet Novi Sad. </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2010</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14.</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Hoffman, V., Gerster-Bentaya, M. Christink, A. and M. Lema (Ed.)</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Rural Extension. Basic concepts and issues</w:t>
            </w:r>
          </w:p>
        </w:tc>
        <w:tc>
          <w:tcPr>
            <w:tcW w:w="3528" w:type="dxa"/>
            <w:gridSpan w:val="4"/>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bCs/>
                <w:sz w:val="14"/>
                <w:szCs w:val="14"/>
                <w:lang w:val="sr-Latn-CS" w:eastAsia="sr-Latn-CS"/>
              </w:rPr>
              <w:t>VOL: 1. MARGRAF PUBLISHERS.</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2009</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15.</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Milić, Vojin</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Sociološki metod</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sz w:val="14"/>
                <w:szCs w:val="14"/>
                <w:lang w:val="sr-Latn-CS" w:eastAsia="sr-Latn-CS"/>
              </w:rPr>
            </w:pPr>
            <w:r w:rsidRPr="00F27C61">
              <w:rPr>
                <w:rFonts w:ascii="Arial" w:eastAsia="Times New Roman" w:hAnsi="Arial" w:cs="Arial"/>
                <w:sz w:val="14"/>
                <w:szCs w:val="14"/>
                <w:lang w:val="sr-Latn-CS" w:eastAsia="sr-Latn-CS"/>
              </w:rPr>
              <w:t>Zavod za udžbenike i nastavna sredstva, Beograd</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1996</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16.</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Supek, Rudi,</w:t>
            </w:r>
          </w:p>
        </w:tc>
        <w:tc>
          <w:tcPr>
            <w:tcW w:w="2381" w:type="dxa"/>
            <w:gridSpan w:val="3"/>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val="sr-Latn-CS" w:eastAsia="sr-Latn-CS"/>
              </w:rPr>
              <w:t xml:space="preserve"> Ispitivanje javnog  mnjenja</w:t>
            </w:r>
          </w:p>
        </w:tc>
        <w:tc>
          <w:tcPr>
            <w:tcW w:w="3528" w:type="dxa"/>
            <w:gridSpan w:val="4"/>
            <w:vAlign w:val="center"/>
          </w:tcPr>
          <w:p w:rsidR="00187BB1" w:rsidRPr="00F27C61" w:rsidRDefault="00187BB1" w:rsidP="00F94DB3">
            <w:pPr>
              <w:widowControl w:val="0"/>
              <w:autoSpaceDE w:val="0"/>
              <w:autoSpaceDN w:val="0"/>
              <w:adjustRightInd w:val="0"/>
              <w:spacing w:line="223" w:lineRule="auto"/>
              <w:ind w:left="360"/>
              <w:jc w:val="both"/>
              <w:rPr>
                <w:rFonts w:ascii="Arial" w:eastAsia="Times New Roman" w:hAnsi="Arial" w:cs="Arial"/>
                <w:b/>
                <w:bCs/>
                <w:sz w:val="14"/>
                <w:szCs w:val="14"/>
                <w:lang w:val="sr-Latn-CS"/>
              </w:rPr>
            </w:pPr>
            <w:r w:rsidRPr="00F27C61">
              <w:rPr>
                <w:rFonts w:ascii="Arial" w:eastAsia="Times New Roman" w:hAnsi="Arial" w:cs="Arial"/>
                <w:sz w:val="14"/>
                <w:szCs w:val="14"/>
                <w:lang w:val="sr-Latn-CS" w:eastAsia="sr-Latn-CS"/>
              </w:rPr>
              <w:t>SNL, Zagreb</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1961</w:t>
            </w:r>
          </w:p>
        </w:tc>
      </w:tr>
      <w:tr w:rsidR="00187BB1" w:rsidRPr="00F27C61" w:rsidTr="00F94DB3">
        <w:tc>
          <w:tcPr>
            <w:tcW w:w="800" w:type="dxa"/>
            <w:vAlign w:val="center"/>
          </w:tcPr>
          <w:p w:rsidR="00187BB1" w:rsidRPr="00F27C61" w:rsidRDefault="00187BB1" w:rsidP="00F94DB3">
            <w:pPr>
              <w:ind w:left="360"/>
              <w:jc w:val="center"/>
              <w:rPr>
                <w:rFonts w:ascii="Arial" w:hAnsi="Arial" w:cs="Arial"/>
                <w:sz w:val="14"/>
                <w:szCs w:val="14"/>
                <w:lang w:val="en-GB"/>
              </w:rPr>
            </w:pPr>
            <w:r w:rsidRPr="00F27C61">
              <w:rPr>
                <w:rFonts w:ascii="Arial" w:hAnsi="Arial" w:cs="Arial"/>
                <w:sz w:val="14"/>
                <w:szCs w:val="14"/>
                <w:lang w:val="en-GB"/>
              </w:rPr>
              <w:t>17.</w:t>
            </w:r>
          </w:p>
        </w:tc>
        <w:tc>
          <w:tcPr>
            <w:tcW w:w="1790" w:type="dxa"/>
            <w:gridSpan w:val="2"/>
            <w:vAlign w:val="center"/>
          </w:tcPr>
          <w:p w:rsidR="00187BB1" w:rsidRPr="00F27C61" w:rsidRDefault="00187BB1" w:rsidP="00F94DB3">
            <w:pPr>
              <w:jc w:val="center"/>
              <w:rPr>
                <w:rFonts w:ascii="Arial" w:hAnsi="Arial" w:cs="Arial"/>
                <w:bCs/>
                <w:sz w:val="14"/>
                <w:szCs w:val="14"/>
                <w:lang w:val="en-GB"/>
              </w:rPr>
            </w:pPr>
            <w:r w:rsidRPr="00F27C61">
              <w:rPr>
                <w:rFonts w:ascii="Arial" w:eastAsia="Times New Roman" w:hAnsi="Arial" w:cs="Arial"/>
                <w:sz w:val="14"/>
                <w:szCs w:val="14"/>
                <w:lang w:eastAsia="sr-Latn-CS"/>
              </w:rPr>
              <w:t xml:space="preserve">Bo, S. and F. </w:t>
            </w:r>
            <w:proofErr w:type="spellStart"/>
            <w:r w:rsidRPr="00F27C61">
              <w:rPr>
                <w:rFonts w:ascii="Arial" w:eastAsia="Times New Roman" w:hAnsi="Arial" w:cs="Arial"/>
                <w:sz w:val="14"/>
                <w:szCs w:val="14"/>
                <w:lang w:eastAsia="sr-Latn-CS"/>
              </w:rPr>
              <w:t>Veber</w:t>
            </w:r>
            <w:proofErr w:type="spellEnd"/>
          </w:p>
        </w:tc>
        <w:tc>
          <w:tcPr>
            <w:tcW w:w="2381" w:type="dxa"/>
            <w:gridSpan w:val="3"/>
            <w:vAlign w:val="center"/>
          </w:tcPr>
          <w:p w:rsidR="00187BB1" w:rsidRPr="00F27C61" w:rsidRDefault="00187BB1" w:rsidP="00F94DB3">
            <w:pPr>
              <w:jc w:val="center"/>
              <w:rPr>
                <w:rFonts w:ascii="Arial" w:hAnsi="Arial" w:cs="Arial"/>
                <w:bCs/>
                <w:sz w:val="14"/>
                <w:szCs w:val="14"/>
                <w:lang w:val="en-GB"/>
              </w:rPr>
            </w:pPr>
            <w:proofErr w:type="spellStart"/>
            <w:r w:rsidRPr="00F27C61">
              <w:rPr>
                <w:rFonts w:ascii="Arial" w:eastAsia="Times New Roman" w:hAnsi="Arial" w:cs="Arial"/>
                <w:sz w:val="14"/>
                <w:szCs w:val="14"/>
                <w:lang w:eastAsia="sr-Latn-CS"/>
              </w:rPr>
              <w:t>Vodič</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kroz</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terensku</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anketu</w:t>
            </w:r>
            <w:proofErr w:type="spellEnd"/>
          </w:p>
        </w:tc>
        <w:tc>
          <w:tcPr>
            <w:tcW w:w="3528" w:type="dxa"/>
            <w:gridSpan w:val="4"/>
            <w:vAlign w:val="center"/>
          </w:tcPr>
          <w:p w:rsidR="00187BB1" w:rsidRPr="00F27C61" w:rsidRDefault="00187BB1" w:rsidP="00F94DB3">
            <w:pPr>
              <w:jc w:val="center"/>
              <w:rPr>
                <w:rFonts w:ascii="Arial" w:hAnsi="Arial" w:cs="Arial"/>
                <w:bCs/>
                <w:sz w:val="14"/>
                <w:szCs w:val="14"/>
                <w:lang w:val="en-GB"/>
              </w:rPr>
            </w:pPr>
            <w:proofErr w:type="spellStart"/>
            <w:r w:rsidRPr="00F27C61">
              <w:rPr>
                <w:rFonts w:ascii="Arial" w:eastAsia="Times New Roman" w:hAnsi="Arial" w:cs="Arial"/>
                <w:sz w:val="14"/>
                <w:szCs w:val="14"/>
                <w:lang w:eastAsia="sr-Latn-CS"/>
              </w:rPr>
              <w:t>Zavod</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za</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udžbenike</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i</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nastavna</w:t>
            </w:r>
            <w:proofErr w:type="spellEnd"/>
            <w:r w:rsidRPr="00F27C61">
              <w:rPr>
                <w:rFonts w:ascii="Arial" w:eastAsia="Times New Roman" w:hAnsi="Arial" w:cs="Arial"/>
                <w:sz w:val="14"/>
                <w:szCs w:val="14"/>
                <w:lang w:eastAsia="sr-Latn-CS"/>
              </w:rPr>
              <w:t xml:space="preserve"> </w:t>
            </w:r>
            <w:proofErr w:type="spellStart"/>
            <w:r w:rsidRPr="00F27C61">
              <w:rPr>
                <w:rFonts w:ascii="Arial" w:eastAsia="Times New Roman" w:hAnsi="Arial" w:cs="Arial"/>
                <w:sz w:val="14"/>
                <w:szCs w:val="14"/>
                <w:lang w:eastAsia="sr-Latn-CS"/>
              </w:rPr>
              <w:t>sredstva</w:t>
            </w:r>
            <w:proofErr w:type="spellEnd"/>
            <w:r w:rsidRPr="00F27C61">
              <w:rPr>
                <w:rFonts w:ascii="Arial" w:eastAsia="Times New Roman" w:hAnsi="Arial" w:cs="Arial"/>
                <w:sz w:val="14"/>
                <w:szCs w:val="14"/>
                <w:lang w:eastAsia="sr-Latn-CS"/>
              </w:rPr>
              <w:t>. Beograd.</w:t>
            </w:r>
          </w:p>
        </w:tc>
        <w:tc>
          <w:tcPr>
            <w:tcW w:w="1121" w:type="dxa"/>
            <w:vAlign w:val="center"/>
          </w:tcPr>
          <w:p w:rsidR="00187BB1" w:rsidRPr="00F27C61" w:rsidRDefault="00187BB1" w:rsidP="00F94DB3">
            <w:pPr>
              <w:jc w:val="center"/>
              <w:rPr>
                <w:rFonts w:ascii="Arial" w:hAnsi="Arial" w:cs="Arial"/>
                <w:sz w:val="14"/>
                <w:szCs w:val="14"/>
                <w:lang w:val="en-GB"/>
              </w:rPr>
            </w:pPr>
            <w:r w:rsidRPr="00F27C61">
              <w:rPr>
                <w:rFonts w:ascii="Arial" w:hAnsi="Arial" w:cs="Arial"/>
                <w:sz w:val="14"/>
                <w:szCs w:val="14"/>
                <w:lang w:val="en-GB"/>
              </w:rPr>
              <w:t>2005</w:t>
            </w:r>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D1" w:rsidRDefault="00466BD1" w:rsidP="00187BB1">
      <w:pPr>
        <w:spacing w:after="0" w:line="240" w:lineRule="auto"/>
      </w:pPr>
      <w:r>
        <w:separator/>
      </w:r>
    </w:p>
  </w:endnote>
  <w:endnote w:type="continuationSeparator" w:id="0">
    <w:p w:rsidR="00466BD1" w:rsidRDefault="00466BD1"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D1" w:rsidRDefault="00466BD1" w:rsidP="00187BB1">
      <w:pPr>
        <w:spacing w:after="0" w:line="240" w:lineRule="auto"/>
      </w:pPr>
      <w:r>
        <w:separator/>
      </w:r>
    </w:p>
  </w:footnote>
  <w:footnote w:type="continuationSeparator" w:id="0">
    <w:p w:rsidR="00466BD1" w:rsidRDefault="00466BD1"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466BD1"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466BD1"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466BD1" w:rsidP="00F94DB3">
          <w:pPr>
            <w:jc w:val="center"/>
            <w:rPr>
              <w:rFonts w:ascii="Arial" w:hAnsi="Arial" w:cs="Arial"/>
              <w:sz w:val="16"/>
              <w:szCs w:val="16"/>
              <w:lang w:val="en-GB"/>
            </w:rPr>
          </w:pPr>
        </w:p>
        <w:p w:rsidR="00D12518" w:rsidRPr="007A20E8" w:rsidRDefault="00466BD1"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466BD1"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466BD1"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466BD1" w:rsidP="00F94DB3">
          <w:pPr>
            <w:jc w:val="center"/>
            <w:rPr>
              <w:sz w:val="28"/>
              <w:szCs w:val="28"/>
              <w:lang w:val="en-GB"/>
            </w:rPr>
          </w:pPr>
          <w:r w:rsidRPr="007A20E8">
            <w:rPr>
              <w:sz w:val="28"/>
              <w:szCs w:val="28"/>
              <w:lang w:val="en-GB"/>
            </w:rPr>
            <w:t>Study Programme Accreditation</w:t>
          </w:r>
        </w:p>
        <w:p w:rsidR="00D12518" w:rsidRPr="007A20E8" w:rsidRDefault="00466BD1" w:rsidP="00F94DB3">
          <w:pPr>
            <w:jc w:val="center"/>
            <w:rPr>
              <w:lang w:val="en-GB"/>
            </w:rPr>
          </w:pPr>
        </w:p>
        <w:p w:rsidR="00D12518" w:rsidRPr="007A20E8" w:rsidRDefault="00466BD1"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466BD1"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466BD1"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466BD1"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7"/>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87BB1"/>
    <w:rsid w:val="001C49F6"/>
    <w:rsid w:val="0028081A"/>
    <w:rsid w:val="00396815"/>
    <w:rsid w:val="003C10C1"/>
    <w:rsid w:val="003F5CC3"/>
    <w:rsid w:val="00466BD1"/>
    <w:rsid w:val="005947DB"/>
    <w:rsid w:val="005E4CBD"/>
    <w:rsid w:val="008A6BA2"/>
    <w:rsid w:val="00BB47C7"/>
    <w:rsid w:val="00C0546B"/>
    <w:rsid w:val="00C058E7"/>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5444</Characters>
  <Application>Microsoft Office Word</Application>
  <DocSecurity>0</DocSecurity>
  <Lines>45</Lines>
  <Paragraphs>12</Paragraphs>
  <ScaleCrop>false</ScaleCrop>
  <Company>Grizli777</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2015-01-21T14:05:00Z</dcterms:created>
  <dcterms:modified xsi:type="dcterms:W3CDTF">2015-01-21T14:05:00Z</dcterms:modified>
</cp:coreProperties>
</file>