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406"/>
        <w:gridCol w:w="268"/>
        <w:gridCol w:w="1213"/>
        <w:gridCol w:w="537"/>
        <w:gridCol w:w="729"/>
        <w:gridCol w:w="1062"/>
        <w:gridCol w:w="1375"/>
        <w:gridCol w:w="521"/>
        <w:gridCol w:w="708"/>
        <w:gridCol w:w="1127"/>
      </w:tblGrid>
      <w:tr w:rsidR="002920FB" w:rsidRPr="002920FB" w:rsidTr="002920FB">
        <w:trPr>
          <w:trHeight w:val="420"/>
        </w:trPr>
        <w:tc>
          <w:tcPr>
            <w:tcW w:w="2082" w:type="dxa"/>
            <w:gridSpan w:val="2"/>
            <w:shd w:val="clear" w:color="auto" w:fill="C2D69B" w:themeFill="accent3" w:themeFillTint="99"/>
            <w:vAlign w:val="center"/>
          </w:tcPr>
          <w:p w:rsidR="002920FB" w:rsidRPr="002920FB" w:rsidRDefault="002920FB" w:rsidP="002920FB">
            <w:pPr>
              <w:spacing w:after="0"/>
              <w:rPr>
                <w:sz w:val="18"/>
                <w:szCs w:val="18"/>
              </w:rPr>
            </w:pPr>
            <w:r w:rsidRPr="002920FB">
              <w:rPr>
                <w:sz w:val="18"/>
                <w:szCs w:val="18"/>
              </w:rPr>
              <w:t>Course:</w:t>
            </w:r>
          </w:p>
        </w:tc>
        <w:tc>
          <w:tcPr>
            <w:tcW w:w="7540" w:type="dxa"/>
            <w:gridSpan w:val="9"/>
            <w:vMerge w:val="restart"/>
            <w:vAlign w:val="center"/>
          </w:tcPr>
          <w:p w:rsidR="002920FB" w:rsidRPr="002920FB" w:rsidRDefault="002920FB" w:rsidP="002920FB">
            <w:pPr>
              <w:spacing w:after="0"/>
              <w:jc w:val="center"/>
              <w:rPr>
                <w:i/>
                <w:sz w:val="18"/>
                <w:szCs w:val="18"/>
              </w:rPr>
            </w:pPr>
            <w:r w:rsidRPr="002920FB">
              <w:rPr>
                <w:b/>
                <w:bCs/>
                <w:sz w:val="18"/>
                <w:szCs w:val="18"/>
                <w:lang w:val="sr-Latn-CS"/>
              </w:rPr>
              <w:t>RURAL SOCIAL GROUPS</w:t>
            </w:r>
          </w:p>
        </w:tc>
      </w:tr>
      <w:tr w:rsidR="002920FB" w:rsidRPr="002920FB" w:rsidTr="002920FB">
        <w:tc>
          <w:tcPr>
            <w:tcW w:w="2082" w:type="dxa"/>
            <w:gridSpan w:val="2"/>
            <w:vAlign w:val="center"/>
          </w:tcPr>
          <w:p w:rsidR="002920FB" w:rsidRPr="002920FB" w:rsidRDefault="002920FB" w:rsidP="002920FB">
            <w:pPr>
              <w:spacing w:after="0"/>
              <w:rPr>
                <w:sz w:val="18"/>
                <w:szCs w:val="18"/>
              </w:rPr>
            </w:pPr>
            <w:r w:rsidRPr="002920FB">
              <w:rPr>
                <w:sz w:val="18"/>
                <w:szCs w:val="18"/>
              </w:rPr>
              <w:t>Course id:2МRR1I15</w:t>
            </w:r>
          </w:p>
        </w:tc>
        <w:tc>
          <w:tcPr>
            <w:tcW w:w="7540" w:type="dxa"/>
            <w:gridSpan w:val="9"/>
            <w:vMerge/>
          </w:tcPr>
          <w:p w:rsidR="002920FB" w:rsidRPr="002920FB" w:rsidRDefault="002920FB" w:rsidP="002920FB">
            <w:pPr>
              <w:spacing w:after="0"/>
              <w:jc w:val="both"/>
              <w:rPr>
                <w:sz w:val="18"/>
                <w:szCs w:val="18"/>
              </w:rPr>
            </w:pPr>
          </w:p>
        </w:tc>
      </w:tr>
      <w:tr w:rsidR="002920FB" w:rsidRPr="002920FB" w:rsidTr="002920FB">
        <w:tc>
          <w:tcPr>
            <w:tcW w:w="2082" w:type="dxa"/>
            <w:gridSpan w:val="2"/>
            <w:vAlign w:val="center"/>
          </w:tcPr>
          <w:p w:rsidR="002920FB" w:rsidRPr="002920FB" w:rsidRDefault="002920FB" w:rsidP="002920FB">
            <w:pPr>
              <w:spacing w:after="0"/>
              <w:rPr>
                <w:sz w:val="18"/>
                <w:szCs w:val="18"/>
              </w:rPr>
            </w:pPr>
            <w:r w:rsidRPr="002920FB">
              <w:rPr>
                <w:sz w:val="18"/>
                <w:szCs w:val="18"/>
              </w:rPr>
              <w:t>Number of ECTS:5</w:t>
            </w:r>
          </w:p>
        </w:tc>
        <w:tc>
          <w:tcPr>
            <w:tcW w:w="7540" w:type="dxa"/>
            <w:gridSpan w:val="9"/>
            <w:vMerge/>
          </w:tcPr>
          <w:p w:rsidR="002920FB" w:rsidRPr="002920FB" w:rsidRDefault="002920FB" w:rsidP="002920FB">
            <w:pPr>
              <w:spacing w:after="0"/>
              <w:jc w:val="both"/>
              <w:rPr>
                <w:sz w:val="18"/>
                <w:szCs w:val="18"/>
              </w:rPr>
            </w:pPr>
          </w:p>
        </w:tc>
      </w:tr>
      <w:tr w:rsidR="002920FB" w:rsidRPr="002920FB" w:rsidTr="002920FB">
        <w:tc>
          <w:tcPr>
            <w:tcW w:w="2082" w:type="dxa"/>
            <w:gridSpan w:val="2"/>
            <w:vAlign w:val="center"/>
          </w:tcPr>
          <w:p w:rsidR="002920FB" w:rsidRPr="002920FB" w:rsidRDefault="002920FB" w:rsidP="002920FB">
            <w:pPr>
              <w:spacing w:after="0"/>
              <w:rPr>
                <w:sz w:val="18"/>
                <w:szCs w:val="18"/>
              </w:rPr>
            </w:pPr>
            <w:r w:rsidRPr="002920FB">
              <w:rPr>
                <w:sz w:val="18"/>
                <w:szCs w:val="18"/>
              </w:rPr>
              <w:t>Teacher:</w:t>
            </w:r>
          </w:p>
        </w:tc>
        <w:tc>
          <w:tcPr>
            <w:tcW w:w="7540" w:type="dxa"/>
            <w:gridSpan w:val="9"/>
          </w:tcPr>
          <w:p w:rsidR="002920FB" w:rsidRPr="002920FB" w:rsidRDefault="002920FB" w:rsidP="002920FB">
            <w:pPr>
              <w:spacing w:after="0"/>
              <w:jc w:val="both"/>
              <w:rPr>
                <w:sz w:val="18"/>
                <w:szCs w:val="18"/>
              </w:rPr>
            </w:pPr>
            <w:r w:rsidRPr="002920FB">
              <w:rPr>
                <w:sz w:val="18"/>
                <w:szCs w:val="18"/>
              </w:rPr>
              <w:t>Dejan Janković</w:t>
            </w:r>
          </w:p>
          <w:p w:rsidR="002920FB" w:rsidRPr="002920FB" w:rsidRDefault="002920FB" w:rsidP="002920FB">
            <w:pPr>
              <w:spacing w:after="0"/>
              <w:jc w:val="both"/>
              <w:rPr>
                <w:sz w:val="18"/>
                <w:szCs w:val="18"/>
              </w:rPr>
            </w:pPr>
            <w:r w:rsidRPr="002920FB">
              <w:rPr>
                <w:sz w:val="18"/>
                <w:szCs w:val="18"/>
              </w:rPr>
              <w:t>Marica Petrović, Marina Novakov</w:t>
            </w:r>
          </w:p>
        </w:tc>
      </w:tr>
      <w:tr w:rsidR="002920FB" w:rsidRPr="002920FB" w:rsidTr="002920FB">
        <w:tc>
          <w:tcPr>
            <w:tcW w:w="2082" w:type="dxa"/>
            <w:gridSpan w:val="2"/>
            <w:vAlign w:val="center"/>
          </w:tcPr>
          <w:p w:rsidR="002920FB" w:rsidRPr="002920FB" w:rsidRDefault="002920FB" w:rsidP="002920FB">
            <w:pPr>
              <w:spacing w:after="0"/>
              <w:rPr>
                <w:sz w:val="18"/>
                <w:szCs w:val="18"/>
              </w:rPr>
            </w:pPr>
            <w:r w:rsidRPr="002920FB">
              <w:rPr>
                <w:sz w:val="18"/>
                <w:szCs w:val="18"/>
              </w:rPr>
              <w:t>Course status</w:t>
            </w:r>
          </w:p>
        </w:tc>
        <w:tc>
          <w:tcPr>
            <w:tcW w:w="7540" w:type="dxa"/>
            <w:gridSpan w:val="9"/>
          </w:tcPr>
          <w:p w:rsidR="002920FB" w:rsidRPr="002920FB" w:rsidRDefault="002920FB" w:rsidP="002920FB">
            <w:pPr>
              <w:spacing w:after="0"/>
              <w:jc w:val="both"/>
              <w:rPr>
                <w:sz w:val="18"/>
                <w:szCs w:val="18"/>
              </w:rPr>
            </w:pPr>
            <w:r w:rsidRPr="002920FB">
              <w:rPr>
                <w:sz w:val="18"/>
                <w:szCs w:val="18"/>
              </w:rPr>
              <w:t>Elective</w:t>
            </w:r>
          </w:p>
        </w:tc>
      </w:tr>
      <w:tr w:rsidR="002920FB" w:rsidRPr="002920FB" w:rsidTr="002920FB">
        <w:trPr>
          <w:trHeight w:val="227"/>
        </w:trPr>
        <w:tc>
          <w:tcPr>
            <w:tcW w:w="9622" w:type="dxa"/>
            <w:gridSpan w:val="11"/>
            <w:shd w:val="clear" w:color="auto" w:fill="C2D69B" w:themeFill="accent3" w:themeFillTint="99"/>
            <w:vAlign w:val="center"/>
          </w:tcPr>
          <w:p w:rsidR="002920FB" w:rsidRPr="002920FB" w:rsidRDefault="002920FB" w:rsidP="002920FB">
            <w:pPr>
              <w:spacing w:after="0"/>
              <w:rPr>
                <w:sz w:val="18"/>
                <w:szCs w:val="18"/>
              </w:rPr>
            </w:pPr>
            <w:r w:rsidRPr="002920FB">
              <w:rPr>
                <w:sz w:val="18"/>
                <w:szCs w:val="18"/>
              </w:rPr>
              <w:t>Number of active teaching classes (weekly)</w:t>
            </w:r>
          </w:p>
        </w:tc>
      </w:tr>
      <w:tr w:rsidR="002920FB" w:rsidRPr="002920FB" w:rsidTr="002920FB">
        <w:trPr>
          <w:trHeight w:val="227"/>
        </w:trPr>
        <w:tc>
          <w:tcPr>
            <w:tcW w:w="2082" w:type="dxa"/>
            <w:gridSpan w:val="2"/>
            <w:shd w:val="clear" w:color="auto" w:fill="auto"/>
            <w:vAlign w:val="center"/>
          </w:tcPr>
          <w:p w:rsidR="002920FB" w:rsidRPr="002920FB" w:rsidRDefault="002920FB" w:rsidP="002920FB">
            <w:pPr>
              <w:spacing w:after="0"/>
              <w:rPr>
                <w:sz w:val="18"/>
                <w:szCs w:val="18"/>
              </w:rPr>
            </w:pPr>
            <w:r w:rsidRPr="002920FB">
              <w:rPr>
                <w:sz w:val="18"/>
                <w:szCs w:val="18"/>
              </w:rPr>
              <w:t>Lectures:30</w:t>
            </w:r>
          </w:p>
        </w:tc>
        <w:tc>
          <w:tcPr>
            <w:tcW w:w="2018" w:type="dxa"/>
            <w:gridSpan w:val="3"/>
            <w:shd w:val="clear" w:color="auto" w:fill="auto"/>
            <w:vAlign w:val="center"/>
          </w:tcPr>
          <w:p w:rsidR="002920FB" w:rsidRPr="002920FB" w:rsidRDefault="002920FB" w:rsidP="002920FB">
            <w:pPr>
              <w:spacing w:after="0"/>
              <w:rPr>
                <w:sz w:val="18"/>
                <w:szCs w:val="18"/>
              </w:rPr>
            </w:pPr>
            <w:r w:rsidRPr="002920FB">
              <w:rPr>
                <w:sz w:val="18"/>
                <w:szCs w:val="18"/>
              </w:rPr>
              <w:t>Tutorials:30</w:t>
            </w:r>
          </w:p>
        </w:tc>
        <w:tc>
          <w:tcPr>
            <w:tcW w:w="1791" w:type="dxa"/>
            <w:gridSpan w:val="2"/>
            <w:shd w:val="clear" w:color="auto" w:fill="auto"/>
            <w:vAlign w:val="center"/>
          </w:tcPr>
          <w:p w:rsidR="002920FB" w:rsidRPr="002920FB" w:rsidRDefault="002920FB" w:rsidP="002920FB">
            <w:pPr>
              <w:spacing w:after="0"/>
              <w:rPr>
                <w:sz w:val="18"/>
                <w:szCs w:val="18"/>
              </w:rPr>
            </w:pPr>
            <w:r w:rsidRPr="002920FB">
              <w:rPr>
                <w:sz w:val="18"/>
                <w:szCs w:val="18"/>
              </w:rPr>
              <w:t>Other teaching types:</w:t>
            </w:r>
          </w:p>
        </w:tc>
        <w:tc>
          <w:tcPr>
            <w:tcW w:w="1896" w:type="dxa"/>
            <w:gridSpan w:val="2"/>
            <w:shd w:val="clear" w:color="auto" w:fill="auto"/>
            <w:vAlign w:val="center"/>
          </w:tcPr>
          <w:p w:rsidR="002920FB" w:rsidRPr="002920FB" w:rsidRDefault="002920FB" w:rsidP="002920FB">
            <w:pPr>
              <w:spacing w:after="0"/>
              <w:rPr>
                <w:sz w:val="18"/>
                <w:szCs w:val="18"/>
              </w:rPr>
            </w:pPr>
            <w:r w:rsidRPr="002920FB">
              <w:rPr>
                <w:sz w:val="18"/>
                <w:szCs w:val="18"/>
              </w:rPr>
              <w:t>Study research work:</w:t>
            </w:r>
          </w:p>
        </w:tc>
        <w:tc>
          <w:tcPr>
            <w:tcW w:w="1835" w:type="dxa"/>
            <w:gridSpan w:val="2"/>
            <w:shd w:val="clear" w:color="auto" w:fill="auto"/>
            <w:vAlign w:val="center"/>
          </w:tcPr>
          <w:p w:rsidR="002920FB" w:rsidRPr="002920FB" w:rsidRDefault="002920FB" w:rsidP="002920FB">
            <w:pPr>
              <w:spacing w:after="0"/>
              <w:rPr>
                <w:sz w:val="18"/>
                <w:szCs w:val="18"/>
              </w:rPr>
            </w:pPr>
            <w:r w:rsidRPr="002920FB">
              <w:rPr>
                <w:sz w:val="18"/>
                <w:szCs w:val="18"/>
              </w:rPr>
              <w:t>Other classes:</w:t>
            </w:r>
          </w:p>
        </w:tc>
      </w:tr>
      <w:tr w:rsidR="002920FB" w:rsidRPr="002920FB" w:rsidTr="002920FB">
        <w:tc>
          <w:tcPr>
            <w:tcW w:w="2082" w:type="dxa"/>
            <w:gridSpan w:val="2"/>
            <w:shd w:val="clear" w:color="auto" w:fill="C2D69B" w:themeFill="accent3" w:themeFillTint="99"/>
            <w:vAlign w:val="center"/>
          </w:tcPr>
          <w:p w:rsidR="002920FB" w:rsidRPr="002920FB" w:rsidRDefault="002920FB" w:rsidP="002920FB">
            <w:pPr>
              <w:spacing w:after="0"/>
              <w:rPr>
                <w:sz w:val="18"/>
                <w:szCs w:val="18"/>
              </w:rPr>
            </w:pPr>
            <w:r w:rsidRPr="002920FB">
              <w:rPr>
                <w:sz w:val="18"/>
                <w:szCs w:val="18"/>
              </w:rPr>
              <w:t>Precondition courses</w:t>
            </w:r>
          </w:p>
        </w:tc>
        <w:tc>
          <w:tcPr>
            <w:tcW w:w="7540" w:type="dxa"/>
            <w:gridSpan w:val="9"/>
            <w:shd w:val="clear" w:color="auto" w:fill="C2D69B" w:themeFill="accent3" w:themeFillTint="99"/>
            <w:vAlign w:val="center"/>
          </w:tcPr>
          <w:p w:rsidR="002920FB" w:rsidRPr="002920FB" w:rsidRDefault="002920FB" w:rsidP="002920FB">
            <w:pPr>
              <w:spacing w:after="0"/>
              <w:rPr>
                <w:sz w:val="18"/>
                <w:szCs w:val="18"/>
              </w:rPr>
            </w:pPr>
            <w:r w:rsidRPr="002920FB">
              <w:rPr>
                <w:sz w:val="18"/>
                <w:szCs w:val="18"/>
              </w:rPr>
              <w:t>None</w:t>
            </w:r>
          </w:p>
        </w:tc>
      </w:tr>
      <w:tr w:rsidR="002920FB" w:rsidRPr="002920FB" w:rsidTr="002920FB">
        <w:tc>
          <w:tcPr>
            <w:tcW w:w="9622" w:type="dxa"/>
            <w:gridSpan w:val="11"/>
          </w:tcPr>
          <w:p w:rsidR="002920FB" w:rsidRPr="002920FB" w:rsidRDefault="002920FB" w:rsidP="002920FB">
            <w:pPr>
              <w:numPr>
                <w:ilvl w:val="0"/>
                <w:numId w:val="1"/>
              </w:numPr>
              <w:spacing w:after="0"/>
              <w:jc w:val="both"/>
              <w:rPr>
                <w:sz w:val="18"/>
                <w:szCs w:val="18"/>
              </w:rPr>
            </w:pPr>
            <w:r w:rsidRPr="002920FB">
              <w:rPr>
                <w:sz w:val="18"/>
                <w:szCs w:val="18"/>
              </w:rPr>
              <w:t>Educational goal</w:t>
            </w:r>
          </w:p>
          <w:p w:rsidR="002920FB" w:rsidRPr="002920FB" w:rsidRDefault="002920FB" w:rsidP="002920FB">
            <w:pPr>
              <w:spacing w:after="0"/>
              <w:jc w:val="both"/>
              <w:rPr>
                <w:sz w:val="18"/>
                <w:szCs w:val="18"/>
              </w:rPr>
            </w:pPr>
            <w:r w:rsidRPr="002920FB">
              <w:rPr>
                <w:sz w:val="18"/>
                <w:szCs w:val="18"/>
              </w:rPr>
              <w:t>During the module in Rural Social Groups students will learn about the approach of sociology of social groups and learn more about the importance, functions and features of different rural social groups. The aim is to highlight the characteristics of different social groups and their functions regarding social changes and development in rural areas.</w:t>
            </w:r>
          </w:p>
          <w:p w:rsidR="002920FB" w:rsidRPr="002920FB" w:rsidRDefault="002920FB" w:rsidP="002920FB">
            <w:pPr>
              <w:spacing w:after="0"/>
              <w:jc w:val="both"/>
              <w:rPr>
                <w:sz w:val="18"/>
                <w:szCs w:val="18"/>
              </w:rPr>
            </w:pPr>
          </w:p>
        </w:tc>
      </w:tr>
      <w:tr w:rsidR="002920FB" w:rsidRPr="002920FB" w:rsidTr="002920FB">
        <w:tc>
          <w:tcPr>
            <w:tcW w:w="9622" w:type="dxa"/>
            <w:gridSpan w:val="11"/>
          </w:tcPr>
          <w:p w:rsidR="002920FB" w:rsidRPr="002920FB" w:rsidRDefault="002920FB" w:rsidP="002920FB">
            <w:pPr>
              <w:numPr>
                <w:ilvl w:val="0"/>
                <w:numId w:val="1"/>
              </w:numPr>
              <w:spacing w:after="0"/>
              <w:jc w:val="both"/>
              <w:rPr>
                <w:sz w:val="18"/>
                <w:szCs w:val="18"/>
              </w:rPr>
            </w:pPr>
            <w:r w:rsidRPr="002920FB">
              <w:rPr>
                <w:sz w:val="18"/>
                <w:szCs w:val="18"/>
              </w:rPr>
              <w:t>Educational outcomes</w:t>
            </w:r>
          </w:p>
          <w:p w:rsidR="002920FB" w:rsidRPr="002920FB" w:rsidRDefault="002920FB" w:rsidP="002920FB">
            <w:pPr>
              <w:spacing w:after="0"/>
              <w:jc w:val="both"/>
              <w:rPr>
                <w:sz w:val="18"/>
                <w:szCs w:val="18"/>
              </w:rPr>
            </w:pPr>
            <w:r w:rsidRPr="002920FB">
              <w:rPr>
                <w:sz w:val="18"/>
                <w:szCs w:val="18"/>
              </w:rPr>
              <w:t>Upon the completion of the course, students should know the importance of social aspects of social groups. They will also be able to analyze different social groups. They will be familiar with types and functions of rural social groups (women, elderly, rural youth, rural family) and be able to analyze these groups and critically evaluate processes that affect the transformation of characteristics and the role of these groups in rural areas.</w:t>
            </w:r>
          </w:p>
          <w:p w:rsidR="002920FB" w:rsidRPr="002920FB" w:rsidRDefault="002920FB" w:rsidP="002920FB">
            <w:pPr>
              <w:spacing w:after="0"/>
              <w:jc w:val="both"/>
              <w:rPr>
                <w:sz w:val="18"/>
                <w:szCs w:val="18"/>
              </w:rPr>
            </w:pPr>
          </w:p>
        </w:tc>
      </w:tr>
      <w:tr w:rsidR="002920FB" w:rsidRPr="002920FB" w:rsidTr="002920FB">
        <w:tc>
          <w:tcPr>
            <w:tcW w:w="9622" w:type="dxa"/>
            <w:gridSpan w:val="11"/>
          </w:tcPr>
          <w:p w:rsidR="002920FB" w:rsidRPr="002920FB" w:rsidRDefault="002920FB" w:rsidP="002920FB">
            <w:pPr>
              <w:numPr>
                <w:ilvl w:val="0"/>
                <w:numId w:val="1"/>
              </w:numPr>
              <w:spacing w:after="0"/>
              <w:jc w:val="both"/>
              <w:rPr>
                <w:sz w:val="18"/>
                <w:szCs w:val="18"/>
              </w:rPr>
            </w:pPr>
            <w:r w:rsidRPr="002920FB">
              <w:rPr>
                <w:sz w:val="18"/>
                <w:szCs w:val="18"/>
              </w:rPr>
              <w:t>Course content</w:t>
            </w:r>
          </w:p>
          <w:p w:rsidR="002920FB" w:rsidRPr="002920FB" w:rsidRDefault="002920FB" w:rsidP="002920FB">
            <w:pPr>
              <w:spacing w:after="0"/>
              <w:jc w:val="both"/>
              <w:rPr>
                <w:i/>
                <w:sz w:val="18"/>
                <w:szCs w:val="18"/>
              </w:rPr>
            </w:pPr>
            <w:r w:rsidRPr="002920FB">
              <w:rPr>
                <w:i/>
                <w:sz w:val="18"/>
                <w:szCs w:val="18"/>
              </w:rPr>
              <w:t>Theoretical Instruction</w:t>
            </w:r>
          </w:p>
          <w:p w:rsidR="002920FB" w:rsidRPr="002920FB" w:rsidRDefault="002920FB" w:rsidP="002920FB">
            <w:pPr>
              <w:spacing w:after="0"/>
              <w:jc w:val="both"/>
              <w:rPr>
                <w:sz w:val="18"/>
                <w:szCs w:val="18"/>
              </w:rPr>
            </w:pPr>
            <w:r w:rsidRPr="002920FB">
              <w:rPr>
                <w:sz w:val="18"/>
                <w:szCs w:val="18"/>
              </w:rPr>
              <w:t>1. Social groups (concept and typology of social groups), 2. Rural social groups (basic rural social groups, their significance for local rural communities), 3. Rural family (concept and functions of the family, family and household, family and kinship, structure and functions of the patriarchal and the contemporary family, rural family and rural society, traditional Serbian rural family – characteristics, role and relationships, changes and factors of changes in traditional Serbian rural families, rural family as a framework for work organization), 4. Rural women (gender as a sociological category, gender and social differences, social role and status of rural women in contemporary society, emancipation of rural women – pro et contra, rural women in contemporary Serbian society, rural women and marriage/family, rural women and education, working role of rural women, feminization of work in agriculture, rural women participation in decision making, rural women as a factor of rural changes and development), 5. Rural youth (youth as a specific social and biological group, social role and status of youth in traditional rural society, changes in role and status of rural youth regarding changes in traditional rural societies, identity of rural youth, problem in rural youth education, rural youth as a factor of rural development, rural youth perspectives in contemporary rural areas), 6. Old rural population (concept of old population, social role and status of old people in traditional rural society, changes in social role and status of old population regarding changes in traditional rural society, senilization of rural population, social care and old rural population).</w:t>
            </w:r>
          </w:p>
        </w:tc>
      </w:tr>
      <w:tr w:rsidR="002920FB" w:rsidRPr="002920FB" w:rsidTr="002920FB">
        <w:tc>
          <w:tcPr>
            <w:tcW w:w="9622" w:type="dxa"/>
            <w:gridSpan w:val="11"/>
          </w:tcPr>
          <w:p w:rsidR="002920FB" w:rsidRPr="002920FB" w:rsidRDefault="002920FB" w:rsidP="002920FB">
            <w:pPr>
              <w:numPr>
                <w:ilvl w:val="0"/>
                <w:numId w:val="1"/>
              </w:numPr>
              <w:spacing w:after="0"/>
              <w:rPr>
                <w:sz w:val="18"/>
                <w:szCs w:val="18"/>
              </w:rPr>
            </w:pPr>
            <w:r w:rsidRPr="002920FB">
              <w:rPr>
                <w:sz w:val="18"/>
                <w:szCs w:val="18"/>
              </w:rPr>
              <w:t>Teaching methods</w:t>
            </w:r>
          </w:p>
          <w:p w:rsidR="002920FB" w:rsidRPr="002920FB" w:rsidRDefault="002920FB" w:rsidP="002920FB">
            <w:pPr>
              <w:spacing w:after="0"/>
              <w:rPr>
                <w:sz w:val="18"/>
                <w:szCs w:val="18"/>
              </w:rPr>
            </w:pPr>
          </w:p>
          <w:p w:rsidR="002920FB" w:rsidRPr="002920FB" w:rsidRDefault="002920FB" w:rsidP="002920FB">
            <w:pPr>
              <w:spacing w:after="0"/>
              <w:rPr>
                <w:sz w:val="18"/>
                <w:szCs w:val="18"/>
              </w:rPr>
            </w:pPr>
            <w:r w:rsidRPr="002920FB">
              <w:rPr>
                <w:sz w:val="18"/>
                <w:szCs w:val="18"/>
              </w:rPr>
              <w:t>Interactive lectures, written reports,  discussions, workshops, group work</w:t>
            </w:r>
          </w:p>
        </w:tc>
      </w:tr>
      <w:tr w:rsidR="002920FB" w:rsidRPr="002920FB" w:rsidTr="002920FB">
        <w:tc>
          <w:tcPr>
            <w:tcW w:w="9622" w:type="dxa"/>
            <w:gridSpan w:val="11"/>
            <w:shd w:val="clear" w:color="auto" w:fill="C2D69B" w:themeFill="accent3" w:themeFillTint="99"/>
            <w:vAlign w:val="center"/>
          </w:tcPr>
          <w:p w:rsidR="002920FB" w:rsidRPr="002920FB" w:rsidRDefault="002920FB" w:rsidP="002920FB">
            <w:pPr>
              <w:spacing w:after="0"/>
              <w:rPr>
                <w:sz w:val="18"/>
                <w:szCs w:val="18"/>
              </w:rPr>
            </w:pPr>
            <w:r w:rsidRPr="002920FB">
              <w:rPr>
                <w:sz w:val="18"/>
                <w:szCs w:val="18"/>
              </w:rPr>
              <w:t>Knowledge evaluation (maximum 100 points)</w:t>
            </w:r>
          </w:p>
        </w:tc>
      </w:tr>
      <w:tr w:rsidR="002920FB" w:rsidRPr="002920FB" w:rsidTr="002920FB">
        <w:tc>
          <w:tcPr>
            <w:tcW w:w="2350" w:type="dxa"/>
            <w:gridSpan w:val="3"/>
            <w:shd w:val="clear" w:color="auto" w:fill="auto"/>
            <w:vAlign w:val="center"/>
          </w:tcPr>
          <w:p w:rsidR="002920FB" w:rsidRPr="002920FB" w:rsidRDefault="002920FB" w:rsidP="002920FB">
            <w:pPr>
              <w:spacing w:after="0"/>
              <w:rPr>
                <w:sz w:val="18"/>
                <w:szCs w:val="18"/>
              </w:rPr>
            </w:pPr>
            <w:r w:rsidRPr="002920FB">
              <w:rPr>
                <w:sz w:val="18"/>
                <w:szCs w:val="18"/>
              </w:rPr>
              <w:t>Pre-examination obligations</w:t>
            </w:r>
          </w:p>
        </w:tc>
        <w:tc>
          <w:tcPr>
            <w:tcW w:w="1213" w:type="dxa"/>
            <w:shd w:val="clear" w:color="auto" w:fill="auto"/>
            <w:vAlign w:val="center"/>
          </w:tcPr>
          <w:p w:rsidR="002920FB" w:rsidRPr="002920FB" w:rsidRDefault="002920FB" w:rsidP="002920FB">
            <w:pPr>
              <w:spacing w:after="0"/>
              <w:rPr>
                <w:sz w:val="18"/>
                <w:szCs w:val="18"/>
              </w:rPr>
            </w:pPr>
            <w:r w:rsidRPr="002920FB">
              <w:rPr>
                <w:sz w:val="18"/>
                <w:szCs w:val="18"/>
              </w:rPr>
              <w:t>Mandatory</w:t>
            </w:r>
          </w:p>
        </w:tc>
        <w:tc>
          <w:tcPr>
            <w:tcW w:w="1266" w:type="dxa"/>
            <w:gridSpan w:val="2"/>
            <w:shd w:val="clear" w:color="auto" w:fill="auto"/>
            <w:vAlign w:val="center"/>
          </w:tcPr>
          <w:p w:rsidR="002920FB" w:rsidRPr="002920FB" w:rsidRDefault="002920FB" w:rsidP="002920FB">
            <w:pPr>
              <w:spacing w:after="0"/>
              <w:rPr>
                <w:sz w:val="18"/>
                <w:szCs w:val="18"/>
              </w:rPr>
            </w:pPr>
            <w:r w:rsidRPr="002920FB">
              <w:rPr>
                <w:sz w:val="18"/>
                <w:szCs w:val="18"/>
              </w:rPr>
              <w:t>Points</w:t>
            </w:r>
          </w:p>
        </w:tc>
        <w:tc>
          <w:tcPr>
            <w:tcW w:w="2437" w:type="dxa"/>
            <w:gridSpan w:val="2"/>
            <w:shd w:val="clear" w:color="auto" w:fill="auto"/>
            <w:vAlign w:val="center"/>
          </w:tcPr>
          <w:p w:rsidR="002920FB" w:rsidRPr="002920FB" w:rsidRDefault="002920FB" w:rsidP="002920FB">
            <w:pPr>
              <w:spacing w:after="0"/>
              <w:rPr>
                <w:sz w:val="18"/>
                <w:szCs w:val="18"/>
              </w:rPr>
            </w:pPr>
            <w:r w:rsidRPr="002920FB">
              <w:rPr>
                <w:sz w:val="18"/>
                <w:szCs w:val="18"/>
              </w:rPr>
              <w:t xml:space="preserve">Final exam </w:t>
            </w:r>
          </w:p>
        </w:tc>
        <w:tc>
          <w:tcPr>
            <w:tcW w:w="1229" w:type="dxa"/>
            <w:gridSpan w:val="2"/>
            <w:shd w:val="clear" w:color="auto" w:fill="auto"/>
            <w:vAlign w:val="center"/>
          </w:tcPr>
          <w:p w:rsidR="002920FB" w:rsidRPr="002920FB" w:rsidRDefault="002920FB" w:rsidP="002920FB">
            <w:pPr>
              <w:spacing w:after="0"/>
              <w:rPr>
                <w:sz w:val="18"/>
                <w:szCs w:val="18"/>
              </w:rPr>
            </w:pPr>
            <w:r w:rsidRPr="002920FB">
              <w:rPr>
                <w:sz w:val="18"/>
                <w:szCs w:val="18"/>
              </w:rPr>
              <w:t>Mandatory</w:t>
            </w:r>
          </w:p>
        </w:tc>
        <w:tc>
          <w:tcPr>
            <w:tcW w:w="1127" w:type="dxa"/>
            <w:shd w:val="clear" w:color="auto" w:fill="auto"/>
            <w:vAlign w:val="center"/>
          </w:tcPr>
          <w:p w:rsidR="002920FB" w:rsidRPr="002920FB" w:rsidRDefault="002920FB" w:rsidP="002920FB">
            <w:pPr>
              <w:spacing w:after="0"/>
              <w:rPr>
                <w:sz w:val="18"/>
                <w:szCs w:val="18"/>
              </w:rPr>
            </w:pPr>
            <w:r w:rsidRPr="002920FB">
              <w:rPr>
                <w:sz w:val="18"/>
                <w:szCs w:val="18"/>
              </w:rPr>
              <w:t>Points</w:t>
            </w:r>
          </w:p>
        </w:tc>
      </w:tr>
      <w:tr w:rsidR="002920FB" w:rsidRPr="002920FB" w:rsidTr="002920FB">
        <w:tc>
          <w:tcPr>
            <w:tcW w:w="2350" w:type="dxa"/>
            <w:gridSpan w:val="3"/>
            <w:shd w:val="clear" w:color="auto" w:fill="auto"/>
            <w:vAlign w:val="center"/>
          </w:tcPr>
          <w:p w:rsidR="002920FB" w:rsidRPr="002920FB" w:rsidRDefault="002920FB" w:rsidP="002920FB">
            <w:pPr>
              <w:spacing w:after="0"/>
              <w:rPr>
                <w:sz w:val="18"/>
                <w:szCs w:val="18"/>
              </w:rPr>
            </w:pPr>
            <w:r w:rsidRPr="002920FB">
              <w:rPr>
                <w:sz w:val="18"/>
                <w:szCs w:val="18"/>
              </w:rPr>
              <w:t>Lecture attendance</w:t>
            </w:r>
          </w:p>
        </w:tc>
        <w:tc>
          <w:tcPr>
            <w:tcW w:w="1213" w:type="dxa"/>
            <w:shd w:val="clear" w:color="auto" w:fill="auto"/>
            <w:vAlign w:val="center"/>
          </w:tcPr>
          <w:p w:rsidR="002920FB" w:rsidRPr="002920FB" w:rsidRDefault="002920FB" w:rsidP="002920FB">
            <w:pPr>
              <w:spacing w:after="0"/>
              <w:rPr>
                <w:sz w:val="18"/>
                <w:szCs w:val="18"/>
              </w:rPr>
            </w:pPr>
            <w:r w:rsidRPr="002920FB">
              <w:rPr>
                <w:sz w:val="18"/>
                <w:szCs w:val="18"/>
              </w:rPr>
              <w:t>Yes/No</w:t>
            </w:r>
          </w:p>
        </w:tc>
        <w:tc>
          <w:tcPr>
            <w:tcW w:w="1266" w:type="dxa"/>
            <w:gridSpan w:val="2"/>
            <w:shd w:val="clear" w:color="auto" w:fill="auto"/>
            <w:vAlign w:val="center"/>
          </w:tcPr>
          <w:p w:rsidR="002920FB" w:rsidRPr="002920FB" w:rsidRDefault="002920FB" w:rsidP="002920FB">
            <w:pPr>
              <w:spacing w:after="0"/>
              <w:rPr>
                <w:sz w:val="18"/>
                <w:szCs w:val="18"/>
              </w:rPr>
            </w:pPr>
            <w:r w:rsidRPr="002920FB">
              <w:rPr>
                <w:sz w:val="18"/>
                <w:szCs w:val="18"/>
              </w:rPr>
              <w:t>10</w:t>
            </w:r>
          </w:p>
        </w:tc>
        <w:tc>
          <w:tcPr>
            <w:tcW w:w="2437" w:type="dxa"/>
            <w:gridSpan w:val="2"/>
            <w:shd w:val="clear" w:color="auto" w:fill="auto"/>
            <w:vAlign w:val="center"/>
          </w:tcPr>
          <w:p w:rsidR="002920FB" w:rsidRPr="002920FB" w:rsidRDefault="002920FB" w:rsidP="002920FB">
            <w:pPr>
              <w:spacing w:after="0"/>
              <w:rPr>
                <w:i/>
                <w:sz w:val="18"/>
                <w:szCs w:val="18"/>
              </w:rPr>
            </w:pPr>
            <w:r w:rsidRPr="002920FB">
              <w:rPr>
                <w:i/>
                <w:sz w:val="18"/>
                <w:szCs w:val="18"/>
              </w:rPr>
              <w:t>Oral exam</w:t>
            </w:r>
          </w:p>
        </w:tc>
        <w:tc>
          <w:tcPr>
            <w:tcW w:w="1229" w:type="dxa"/>
            <w:gridSpan w:val="2"/>
            <w:shd w:val="clear" w:color="auto" w:fill="auto"/>
            <w:vAlign w:val="center"/>
          </w:tcPr>
          <w:p w:rsidR="002920FB" w:rsidRPr="002920FB" w:rsidRDefault="002920FB" w:rsidP="002920FB">
            <w:pPr>
              <w:spacing w:after="0"/>
              <w:rPr>
                <w:sz w:val="18"/>
                <w:szCs w:val="18"/>
              </w:rPr>
            </w:pPr>
            <w:r w:rsidRPr="002920FB">
              <w:rPr>
                <w:sz w:val="18"/>
                <w:szCs w:val="18"/>
              </w:rPr>
              <w:t>Yes</w:t>
            </w:r>
          </w:p>
        </w:tc>
        <w:tc>
          <w:tcPr>
            <w:tcW w:w="1127" w:type="dxa"/>
            <w:shd w:val="clear" w:color="auto" w:fill="auto"/>
            <w:vAlign w:val="center"/>
          </w:tcPr>
          <w:p w:rsidR="002920FB" w:rsidRPr="002920FB" w:rsidRDefault="002920FB" w:rsidP="002920FB">
            <w:pPr>
              <w:spacing w:after="0"/>
              <w:rPr>
                <w:sz w:val="18"/>
                <w:szCs w:val="18"/>
              </w:rPr>
            </w:pPr>
            <w:r w:rsidRPr="002920FB">
              <w:rPr>
                <w:sz w:val="18"/>
                <w:szCs w:val="18"/>
              </w:rPr>
              <w:t>30</w:t>
            </w:r>
          </w:p>
        </w:tc>
      </w:tr>
      <w:tr w:rsidR="002920FB" w:rsidRPr="002920FB" w:rsidTr="002920FB">
        <w:tc>
          <w:tcPr>
            <w:tcW w:w="2350" w:type="dxa"/>
            <w:gridSpan w:val="3"/>
            <w:shd w:val="clear" w:color="auto" w:fill="auto"/>
            <w:vAlign w:val="center"/>
          </w:tcPr>
          <w:p w:rsidR="002920FB" w:rsidRPr="002920FB" w:rsidRDefault="002920FB" w:rsidP="002920FB">
            <w:pPr>
              <w:spacing w:after="0"/>
              <w:rPr>
                <w:sz w:val="18"/>
                <w:szCs w:val="18"/>
              </w:rPr>
            </w:pPr>
            <w:r w:rsidRPr="002920FB">
              <w:rPr>
                <w:sz w:val="18"/>
                <w:szCs w:val="18"/>
              </w:rPr>
              <w:t>Activity</w:t>
            </w:r>
          </w:p>
        </w:tc>
        <w:tc>
          <w:tcPr>
            <w:tcW w:w="1213" w:type="dxa"/>
            <w:shd w:val="clear" w:color="auto" w:fill="auto"/>
            <w:vAlign w:val="center"/>
          </w:tcPr>
          <w:p w:rsidR="002920FB" w:rsidRPr="002920FB" w:rsidRDefault="002920FB" w:rsidP="002920FB">
            <w:pPr>
              <w:spacing w:after="0"/>
              <w:rPr>
                <w:sz w:val="18"/>
                <w:szCs w:val="18"/>
              </w:rPr>
            </w:pPr>
            <w:r w:rsidRPr="002920FB">
              <w:rPr>
                <w:sz w:val="18"/>
                <w:szCs w:val="18"/>
              </w:rPr>
              <w:t>Yes/No</w:t>
            </w:r>
          </w:p>
        </w:tc>
        <w:tc>
          <w:tcPr>
            <w:tcW w:w="1266" w:type="dxa"/>
            <w:gridSpan w:val="2"/>
            <w:shd w:val="clear" w:color="auto" w:fill="auto"/>
            <w:vAlign w:val="center"/>
          </w:tcPr>
          <w:p w:rsidR="002920FB" w:rsidRPr="002920FB" w:rsidRDefault="002920FB" w:rsidP="002920FB">
            <w:pPr>
              <w:spacing w:after="0"/>
              <w:rPr>
                <w:sz w:val="18"/>
                <w:szCs w:val="18"/>
              </w:rPr>
            </w:pPr>
            <w:r w:rsidRPr="002920FB">
              <w:rPr>
                <w:sz w:val="18"/>
                <w:szCs w:val="18"/>
              </w:rPr>
              <w:t>10</w:t>
            </w:r>
          </w:p>
        </w:tc>
        <w:tc>
          <w:tcPr>
            <w:tcW w:w="4793" w:type="dxa"/>
            <w:gridSpan w:val="5"/>
            <w:vMerge w:val="restart"/>
            <w:shd w:val="clear" w:color="auto" w:fill="auto"/>
            <w:vAlign w:val="center"/>
          </w:tcPr>
          <w:p w:rsidR="002920FB" w:rsidRPr="002920FB" w:rsidRDefault="002920FB" w:rsidP="002920FB">
            <w:pPr>
              <w:spacing w:after="0"/>
              <w:rPr>
                <w:sz w:val="18"/>
                <w:szCs w:val="18"/>
              </w:rPr>
            </w:pPr>
          </w:p>
        </w:tc>
      </w:tr>
      <w:tr w:rsidR="002920FB" w:rsidRPr="002920FB" w:rsidTr="002920FB">
        <w:tc>
          <w:tcPr>
            <w:tcW w:w="2350" w:type="dxa"/>
            <w:gridSpan w:val="3"/>
            <w:shd w:val="clear" w:color="auto" w:fill="auto"/>
            <w:vAlign w:val="center"/>
          </w:tcPr>
          <w:p w:rsidR="002920FB" w:rsidRPr="002920FB" w:rsidRDefault="002920FB" w:rsidP="002920FB">
            <w:pPr>
              <w:spacing w:after="0"/>
              <w:rPr>
                <w:sz w:val="18"/>
                <w:szCs w:val="18"/>
              </w:rPr>
            </w:pPr>
            <w:r w:rsidRPr="002920FB">
              <w:rPr>
                <w:sz w:val="18"/>
                <w:szCs w:val="18"/>
              </w:rPr>
              <w:t>Tutorials attendance</w:t>
            </w:r>
          </w:p>
        </w:tc>
        <w:tc>
          <w:tcPr>
            <w:tcW w:w="1213" w:type="dxa"/>
            <w:shd w:val="clear" w:color="auto" w:fill="auto"/>
            <w:vAlign w:val="center"/>
          </w:tcPr>
          <w:p w:rsidR="002920FB" w:rsidRPr="002920FB" w:rsidRDefault="002920FB" w:rsidP="002920FB">
            <w:pPr>
              <w:spacing w:after="0"/>
              <w:rPr>
                <w:sz w:val="18"/>
                <w:szCs w:val="18"/>
              </w:rPr>
            </w:pPr>
            <w:r w:rsidRPr="002920FB">
              <w:rPr>
                <w:sz w:val="18"/>
                <w:szCs w:val="18"/>
              </w:rPr>
              <w:t>Yes/No</w:t>
            </w:r>
          </w:p>
        </w:tc>
        <w:tc>
          <w:tcPr>
            <w:tcW w:w="1266" w:type="dxa"/>
            <w:gridSpan w:val="2"/>
            <w:shd w:val="clear" w:color="auto" w:fill="auto"/>
            <w:vAlign w:val="center"/>
          </w:tcPr>
          <w:p w:rsidR="002920FB" w:rsidRPr="002920FB" w:rsidRDefault="002920FB" w:rsidP="002920FB">
            <w:pPr>
              <w:spacing w:after="0"/>
              <w:rPr>
                <w:sz w:val="18"/>
                <w:szCs w:val="18"/>
              </w:rPr>
            </w:pPr>
            <w:r w:rsidRPr="002920FB">
              <w:rPr>
                <w:sz w:val="18"/>
                <w:szCs w:val="18"/>
              </w:rPr>
              <w:t>10</w:t>
            </w:r>
          </w:p>
        </w:tc>
        <w:tc>
          <w:tcPr>
            <w:tcW w:w="4793" w:type="dxa"/>
            <w:gridSpan w:val="5"/>
            <w:vMerge/>
            <w:shd w:val="clear" w:color="auto" w:fill="auto"/>
            <w:vAlign w:val="center"/>
          </w:tcPr>
          <w:p w:rsidR="002920FB" w:rsidRPr="002920FB" w:rsidRDefault="002920FB" w:rsidP="002920FB">
            <w:pPr>
              <w:spacing w:after="0"/>
              <w:rPr>
                <w:sz w:val="18"/>
                <w:szCs w:val="18"/>
              </w:rPr>
            </w:pPr>
          </w:p>
        </w:tc>
      </w:tr>
      <w:tr w:rsidR="002920FB" w:rsidRPr="002920FB" w:rsidTr="002920FB">
        <w:tc>
          <w:tcPr>
            <w:tcW w:w="2350" w:type="dxa"/>
            <w:gridSpan w:val="3"/>
            <w:shd w:val="clear" w:color="auto" w:fill="auto"/>
            <w:vAlign w:val="center"/>
          </w:tcPr>
          <w:p w:rsidR="002920FB" w:rsidRPr="002920FB" w:rsidRDefault="002920FB" w:rsidP="002920FB">
            <w:pPr>
              <w:spacing w:after="0"/>
              <w:rPr>
                <w:sz w:val="18"/>
                <w:szCs w:val="18"/>
              </w:rPr>
            </w:pPr>
            <w:r w:rsidRPr="002920FB">
              <w:rPr>
                <w:sz w:val="18"/>
                <w:szCs w:val="18"/>
              </w:rPr>
              <w:t>Written report</w:t>
            </w:r>
          </w:p>
        </w:tc>
        <w:tc>
          <w:tcPr>
            <w:tcW w:w="1213" w:type="dxa"/>
            <w:shd w:val="clear" w:color="auto" w:fill="auto"/>
            <w:vAlign w:val="center"/>
          </w:tcPr>
          <w:p w:rsidR="002920FB" w:rsidRPr="002920FB" w:rsidRDefault="002920FB" w:rsidP="002920FB">
            <w:pPr>
              <w:spacing w:after="0"/>
              <w:rPr>
                <w:sz w:val="18"/>
                <w:szCs w:val="18"/>
              </w:rPr>
            </w:pPr>
            <w:r w:rsidRPr="002920FB">
              <w:rPr>
                <w:sz w:val="18"/>
                <w:szCs w:val="18"/>
              </w:rPr>
              <w:t>Yes/No</w:t>
            </w:r>
          </w:p>
        </w:tc>
        <w:tc>
          <w:tcPr>
            <w:tcW w:w="1266" w:type="dxa"/>
            <w:gridSpan w:val="2"/>
            <w:shd w:val="clear" w:color="auto" w:fill="auto"/>
            <w:vAlign w:val="center"/>
          </w:tcPr>
          <w:p w:rsidR="002920FB" w:rsidRPr="002920FB" w:rsidRDefault="002920FB" w:rsidP="002920FB">
            <w:pPr>
              <w:spacing w:after="0"/>
              <w:rPr>
                <w:sz w:val="18"/>
                <w:szCs w:val="18"/>
              </w:rPr>
            </w:pPr>
            <w:r w:rsidRPr="002920FB">
              <w:rPr>
                <w:sz w:val="18"/>
                <w:szCs w:val="18"/>
              </w:rPr>
              <w:t>40</w:t>
            </w:r>
          </w:p>
        </w:tc>
        <w:tc>
          <w:tcPr>
            <w:tcW w:w="4793" w:type="dxa"/>
            <w:gridSpan w:val="5"/>
            <w:vMerge/>
            <w:shd w:val="clear" w:color="auto" w:fill="auto"/>
            <w:vAlign w:val="center"/>
          </w:tcPr>
          <w:p w:rsidR="002920FB" w:rsidRPr="002920FB" w:rsidRDefault="002920FB" w:rsidP="002920FB">
            <w:pPr>
              <w:spacing w:after="0"/>
              <w:rPr>
                <w:sz w:val="18"/>
                <w:szCs w:val="18"/>
              </w:rPr>
            </w:pPr>
          </w:p>
        </w:tc>
      </w:tr>
      <w:tr w:rsidR="002920FB" w:rsidRPr="002920FB" w:rsidTr="002920FB">
        <w:tc>
          <w:tcPr>
            <w:tcW w:w="9622" w:type="dxa"/>
            <w:gridSpan w:val="11"/>
            <w:shd w:val="clear" w:color="auto" w:fill="C2D69B" w:themeFill="accent3" w:themeFillTint="99"/>
            <w:vAlign w:val="center"/>
          </w:tcPr>
          <w:p w:rsidR="002920FB" w:rsidRPr="002920FB" w:rsidRDefault="002920FB" w:rsidP="002920FB">
            <w:pPr>
              <w:spacing w:after="0"/>
              <w:rPr>
                <w:sz w:val="18"/>
                <w:szCs w:val="18"/>
              </w:rPr>
            </w:pPr>
            <w:r w:rsidRPr="002920FB">
              <w:rPr>
                <w:sz w:val="18"/>
                <w:szCs w:val="18"/>
              </w:rPr>
              <w:t xml:space="preserve">Literature </w:t>
            </w:r>
          </w:p>
        </w:tc>
      </w:tr>
      <w:tr w:rsidR="002920FB" w:rsidRPr="002920FB" w:rsidTr="002920FB">
        <w:tc>
          <w:tcPr>
            <w:tcW w:w="676" w:type="dxa"/>
            <w:vAlign w:val="center"/>
          </w:tcPr>
          <w:p w:rsidR="002920FB" w:rsidRPr="002920FB" w:rsidRDefault="002920FB" w:rsidP="002920FB">
            <w:pPr>
              <w:spacing w:after="0"/>
              <w:rPr>
                <w:sz w:val="18"/>
                <w:szCs w:val="18"/>
              </w:rPr>
            </w:pPr>
            <w:r w:rsidRPr="002920FB">
              <w:rPr>
                <w:sz w:val="18"/>
                <w:szCs w:val="18"/>
              </w:rPr>
              <w:t>Ord.</w:t>
            </w:r>
          </w:p>
        </w:tc>
        <w:tc>
          <w:tcPr>
            <w:tcW w:w="1674" w:type="dxa"/>
            <w:gridSpan w:val="2"/>
            <w:vAlign w:val="center"/>
          </w:tcPr>
          <w:p w:rsidR="002920FB" w:rsidRPr="002920FB" w:rsidRDefault="002920FB" w:rsidP="002920FB">
            <w:pPr>
              <w:spacing w:after="0"/>
              <w:rPr>
                <w:sz w:val="18"/>
                <w:szCs w:val="18"/>
              </w:rPr>
            </w:pPr>
            <w:r w:rsidRPr="002920FB">
              <w:rPr>
                <w:sz w:val="18"/>
                <w:szCs w:val="18"/>
              </w:rPr>
              <w:t>Author</w:t>
            </w:r>
          </w:p>
        </w:tc>
        <w:tc>
          <w:tcPr>
            <w:tcW w:w="2479" w:type="dxa"/>
            <w:gridSpan w:val="3"/>
            <w:vAlign w:val="center"/>
          </w:tcPr>
          <w:p w:rsidR="002920FB" w:rsidRPr="002920FB" w:rsidRDefault="002920FB" w:rsidP="002920FB">
            <w:pPr>
              <w:spacing w:after="0"/>
              <w:rPr>
                <w:sz w:val="18"/>
                <w:szCs w:val="18"/>
              </w:rPr>
            </w:pPr>
            <w:r w:rsidRPr="002920FB">
              <w:rPr>
                <w:sz w:val="18"/>
                <w:szCs w:val="18"/>
              </w:rPr>
              <w:t>Title</w:t>
            </w:r>
          </w:p>
        </w:tc>
        <w:tc>
          <w:tcPr>
            <w:tcW w:w="3666" w:type="dxa"/>
            <w:gridSpan w:val="4"/>
            <w:vAlign w:val="center"/>
          </w:tcPr>
          <w:p w:rsidR="002920FB" w:rsidRPr="002920FB" w:rsidRDefault="002920FB" w:rsidP="002920FB">
            <w:pPr>
              <w:spacing w:after="0"/>
              <w:rPr>
                <w:sz w:val="18"/>
                <w:szCs w:val="18"/>
              </w:rPr>
            </w:pPr>
            <w:r w:rsidRPr="002920FB">
              <w:rPr>
                <w:sz w:val="18"/>
                <w:szCs w:val="18"/>
              </w:rPr>
              <w:t>Publisher</w:t>
            </w:r>
          </w:p>
        </w:tc>
        <w:tc>
          <w:tcPr>
            <w:tcW w:w="1127" w:type="dxa"/>
            <w:vAlign w:val="center"/>
          </w:tcPr>
          <w:p w:rsidR="002920FB" w:rsidRPr="002920FB" w:rsidRDefault="002920FB" w:rsidP="002920FB">
            <w:pPr>
              <w:spacing w:after="0"/>
              <w:rPr>
                <w:sz w:val="18"/>
                <w:szCs w:val="18"/>
              </w:rPr>
            </w:pPr>
            <w:r w:rsidRPr="002920FB">
              <w:rPr>
                <w:sz w:val="18"/>
                <w:szCs w:val="18"/>
              </w:rPr>
              <w:t>Year</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Stojanov, M.</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Sociologija seoskih kolektiva – ogledi</w:t>
            </w:r>
          </w:p>
        </w:tc>
        <w:tc>
          <w:tcPr>
            <w:tcW w:w="3666" w:type="dxa"/>
            <w:gridSpan w:val="4"/>
            <w:vAlign w:val="center"/>
          </w:tcPr>
          <w:p w:rsidR="002920FB" w:rsidRPr="002920FB" w:rsidRDefault="002920FB" w:rsidP="002920FB">
            <w:pPr>
              <w:spacing w:after="0"/>
              <w:rPr>
                <w:sz w:val="18"/>
                <w:szCs w:val="18"/>
              </w:rPr>
            </w:pPr>
            <w:r w:rsidRPr="002920FB">
              <w:rPr>
                <w:sz w:val="18"/>
                <w:szCs w:val="18"/>
              </w:rPr>
              <w:t>Novi Sad: Matica srpska</w:t>
            </w:r>
          </w:p>
        </w:tc>
        <w:tc>
          <w:tcPr>
            <w:tcW w:w="1127" w:type="dxa"/>
            <w:vAlign w:val="center"/>
          </w:tcPr>
          <w:p w:rsidR="002920FB" w:rsidRPr="002920FB" w:rsidRDefault="002920FB" w:rsidP="002920FB">
            <w:pPr>
              <w:spacing w:after="0"/>
              <w:rPr>
                <w:sz w:val="18"/>
                <w:szCs w:val="18"/>
              </w:rPr>
            </w:pPr>
            <w:r w:rsidRPr="002920FB">
              <w:rPr>
                <w:sz w:val="18"/>
                <w:szCs w:val="18"/>
              </w:rPr>
              <w:t>2004</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Haralambos, M., M. Holborn</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Sociologija: teme i perspektive</w:t>
            </w:r>
          </w:p>
        </w:tc>
        <w:tc>
          <w:tcPr>
            <w:tcW w:w="3666" w:type="dxa"/>
            <w:gridSpan w:val="4"/>
            <w:vAlign w:val="center"/>
          </w:tcPr>
          <w:p w:rsidR="002920FB" w:rsidRPr="002920FB" w:rsidRDefault="002920FB" w:rsidP="002920FB">
            <w:pPr>
              <w:spacing w:after="0"/>
              <w:rPr>
                <w:sz w:val="18"/>
                <w:szCs w:val="18"/>
              </w:rPr>
            </w:pPr>
            <w:r w:rsidRPr="002920FB">
              <w:rPr>
                <w:sz w:val="18"/>
                <w:szCs w:val="18"/>
              </w:rPr>
              <w:t>. Zagreb: Golden marketing</w:t>
            </w:r>
          </w:p>
        </w:tc>
        <w:tc>
          <w:tcPr>
            <w:tcW w:w="1127" w:type="dxa"/>
            <w:vAlign w:val="center"/>
          </w:tcPr>
          <w:p w:rsidR="002920FB" w:rsidRPr="002920FB" w:rsidRDefault="002920FB" w:rsidP="002920FB">
            <w:pPr>
              <w:spacing w:after="0"/>
              <w:rPr>
                <w:sz w:val="18"/>
                <w:szCs w:val="18"/>
              </w:rPr>
            </w:pPr>
            <w:r w:rsidRPr="002920FB">
              <w:rPr>
                <w:sz w:val="18"/>
                <w:szCs w:val="18"/>
              </w:rPr>
              <w:t>2002</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Milić, A.</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Društvena transformacija i strategije društvenih grupa: svakodnevica Srbije na početku trećeg milenijuma</w:t>
            </w:r>
          </w:p>
        </w:tc>
        <w:tc>
          <w:tcPr>
            <w:tcW w:w="3666" w:type="dxa"/>
            <w:gridSpan w:val="4"/>
            <w:vAlign w:val="center"/>
          </w:tcPr>
          <w:p w:rsidR="002920FB" w:rsidRPr="002920FB" w:rsidRDefault="002920FB" w:rsidP="002920FB">
            <w:pPr>
              <w:spacing w:after="0"/>
              <w:rPr>
                <w:sz w:val="18"/>
                <w:szCs w:val="18"/>
                <w:lang w:val="de-DE"/>
              </w:rPr>
            </w:pPr>
            <w:r w:rsidRPr="002920FB">
              <w:rPr>
                <w:sz w:val="18"/>
                <w:szCs w:val="18"/>
                <w:lang w:val="de-DE"/>
              </w:rPr>
              <w:t>Beograd: Institut za sociološka istraživanja</w:t>
            </w:r>
          </w:p>
        </w:tc>
        <w:tc>
          <w:tcPr>
            <w:tcW w:w="1127" w:type="dxa"/>
            <w:vAlign w:val="center"/>
          </w:tcPr>
          <w:p w:rsidR="002920FB" w:rsidRPr="002920FB" w:rsidRDefault="002920FB" w:rsidP="002920FB">
            <w:pPr>
              <w:spacing w:after="0"/>
              <w:rPr>
                <w:sz w:val="18"/>
                <w:szCs w:val="18"/>
              </w:rPr>
            </w:pPr>
            <w:r w:rsidRPr="002920FB">
              <w:rPr>
                <w:sz w:val="18"/>
                <w:szCs w:val="18"/>
              </w:rPr>
              <w:t>2004</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Schaefers, B</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Einfuehrung in die Gruppensociologie</w:t>
            </w:r>
          </w:p>
        </w:tc>
        <w:tc>
          <w:tcPr>
            <w:tcW w:w="3666" w:type="dxa"/>
            <w:gridSpan w:val="4"/>
            <w:vAlign w:val="center"/>
          </w:tcPr>
          <w:p w:rsidR="002920FB" w:rsidRPr="002920FB" w:rsidRDefault="002920FB" w:rsidP="002920FB">
            <w:pPr>
              <w:spacing w:after="0"/>
              <w:rPr>
                <w:sz w:val="18"/>
                <w:szCs w:val="18"/>
              </w:rPr>
            </w:pPr>
            <w:r w:rsidRPr="002920FB">
              <w:rPr>
                <w:sz w:val="18"/>
                <w:szCs w:val="18"/>
              </w:rPr>
              <w:t>Quelle &amp; Meyer Verlag</w:t>
            </w:r>
          </w:p>
        </w:tc>
        <w:tc>
          <w:tcPr>
            <w:tcW w:w="1127" w:type="dxa"/>
            <w:vAlign w:val="center"/>
          </w:tcPr>
          <w:p w:rsidR="002920FB" w:rsidRPr="002920FB" w:rsidRDefault="002920FB" w:rsidP="002920FB">
            <w:pPr>
              <w:spacing w:after="0"/>
              <w:rPr>
                <w:sz w:val="18"/>
                <w:szCs w:val="18"/>
              </w:rPr>
            </w:pPr>
            <w:r w:rsidRPr="002920FB">
              <w:rPr>
                <w:sz w:val="18"/>
                <w:szCs w:val="18"/>
              </w:rPr>
              <w:t>1999</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Miladinović, M.</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Stari u selu – ruralnosociološko istraživanje u selima Srednjeg Banata</w:t>
            </w:r>
          </w:p>
        </w:tc>
        <w:tc>
          <w:tcPr>
            <w:tcW w:w="3666" w:type="dxa"/>
            <w:gridSpan w:val="4"/>
            <w:vAlign w:val="center"/>
          </w:tcPr>
          <w:p w:rsidR="002920FB" w:rsidRPr="002920FB" w:rsidRDefault="002920FB" w:rsidP="002920FB">
            <w:pPr>
              <w:spacing w:after="0"/>
              <w:rPr>
                <w:sz w:val="18"/>
                <w:szCs w:val="18"/>
              </w:rPr>
            </w:pPr>
            <w:r w:rsidRPr="002920FB">
              <w:rPr>
                <w:sz w:val="18"/>
                <w:szCs w:val="18"/>
              </w:rPr>
              <w:t>Novi Sad: Poljoprivredni fakultet</w:t>
            </w:r>
          </w:p>
        </w:tc>
        <w:tc>
          <w:tcPr>
            <w:tcW w:w="1127" w:type="dxa"/>
            <w:vAlign w:val="center"/>
          </w:tcPr>
          <w:p w:rsidR="002920FB" w:rsidRPr="002920FB" w:rsidRDefault="002920FB" w:rsidP="002920FB">
            <w:pPr>
              <w:spacing w:after="0"/>
              <w:rPr>
                <w:sz w:val="18"/>
                <w:szCs w:val="18"/>
              </w:rPr>
            </w:pPr>
            <w:r w:rsidRPr="002920FB">
              <w:rPr>
                <w:sz w:val="18"/>
                <w:szCs w:val="18"/>
              </w:rPr>
              <w:t>2010</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Novakov, M.</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Porodični i društveni položaj majke u savremenom srpskom selu na osnovu istraživanja na području AP Vojvodine (magistarska teza)</w:t>
            </w:r>
          </w:p>
        </w:tc>
        <w:tc>
          <w:tcPr>
            <w:tcW w:w="3666" w:type="dxa"/>
            <w:gridSpan w:val="4"/>
            <w:vAlign w:val="center"/>
          </w:tcPr>
          <w:p w:rsidR="002920FB" w:rsidRPr="002920FB" w:rsidRDefault="002920FB" w:rsidP="002920FB">
            <w:pPr>
              <w:spacing w:after="0"/>
              <w:rPr>
                <w:sz w:val="18"/>
                <w:szCs w:val="18"/>
              </w:rPr>
            </w:pPr>
            <w:r w:rsidRPr="002920FB">
              <w:rPr>
                <w:sz w:val="18"/>
                <w:szCs w:val="18"/>
              </w:rPr>
              <w:t>Novi Sad: Filozofski fakultet</w:t>
            </w:r>
          </w:p>
        </w:tc>
        <w:tc>
          <w:tcPr>
            <w:tcW w:w="1127" w:type="dxa"/>
            <w:vAlign w:val="center"/>
          </w:tcPr>
          <w:p w:rsidR="002920FB" w:rsidRPr="002920FB" w:rsidRDefault="002920FB" w:rsidP="002920FB">
            <w:pPr>
              <w:spacing w:after="0"/>
              <w:rPr>
                <w:sz w:val="18"/>
                <w:szCs w:val="18"/>
              </w:rPr>
            </w:pPr>
            <w:r w:rsidRPr="002920FB">
              <w:rPr>
                <w:sz w:val="18"/>
                <w:szCs w:val="18"/>
              </w:rPr>
              <w:t>2010</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Jentsch, B., M. Schucksmith</w:t>
            </w:r>
          </w:p>
        </w:tc>
        <w:tc>
          <w:tcPr>
            <w:tcW w:w="2479" w:type="dxa"/>
            <w:gridSpan w:val="3"/>
            <w:vAlign w:val="center"/>
          </w:tcPr>
          <w:p w:rsidR="002920FB" w:rsidRPr="002920FB" w:rsidRDefault="002920FB" w:rsidP="002920FB">
            <w:pPr>
              <w:spacing w:after="0"/>
              <w:jc w:val="both"/>
              <w:rPr>
                <w:sz w:val="18"/>
                <w:szCs w:val="18"/>
              </w:rPr>
            </w:pPr>
            <w:r w:rsidRPr="002920FB">
              <w:rPr>
                <w:sz w:val="18"/>
                <w:szCs w:val="18"/>
              </w:rPr>
              <w:t>Young People in Rural areas of Europe</w:t>
            </w:r>
          </w:p>
        </w:tc>
        <w:tc>
          <w:tcPr>
            <w:tcW w:w="3666" w:type="dxa"/>
            <w:gridSpan w:val="4"/>
            <w:vAlign w:val="center"/>
          </w:tcPr>
          <w:p w:rsidR="002920FB" w:rsidRPr="002920FB" w:rsidRDefault="002920FB" w:rsidP="002920FB">
            <w:pPr>
              <w:spacing w:after="0"/>
              <w:rPr>
                <w:sz w:val="18"/>
                <w:szCs w:val="18"/>
              </w:rPr>
            </w:pPr>
            <w:r w:rsidRPr="002920FB">
              <w:rPr>
                <w:sz w:val="18"/>
                <w:szCs w:val="18"/>
              </w:rPr>
              <w:t>Ashgate</w:t>
            </w:r>
          </w:p>
        </w:tc>
        <w:tc>
          <w:tcPr>
            <w:tcW w:w="1127" w:type="dxa"/>
            <w:vAlign w:val="center"/>
          </w:tcPr>
          <w:p w:rsidR="002920FB" w:rsidRPr="002920FB" w:rsidRDefault="002920FB" w:rsidP="002920FB">
            <w:pPr>
              <w:spacing w:after="0"/>
              <w:rPr>
                <w:sz w:val="18"/>
                <w:szCs w:val="18"/>
              </w:rPr>
            </w:pPr>
            <w:r w:rsidRPr="002920FB">
              <w:rPr>
                <w:sz w:val="18"/>
                <w:szCs w:val="18"/>
              </w:rPr>
              <w:t>2004</w:t>
            </w:r>
          </w:p>
        </w:tc>
      </w:tr>
      <w:tr w:rsidR="002920FB" w:rsidRPr="002920FB" w:rsidTr="002920FB">
        <w:tc>
          <w:tcPr>
            <w:tcW w:w="676" w:type="dxa"/>
            <w:vAlign w:val="center"/>
          </w:tcPr>
          <w:p w:rsidR="002920FB" w:rsidRPr="002920FB" w:rsidRDefault="002920FB" w:rsidP="002920FB">
            <w:pPr>
              <w:numPr>
                <w:ilvl w:val="0"/>
                <w:numId w:val="2"/>
              </w:numPr>
              <w:spacing w:after="0"/>
              <w:jc w:val="both"/>
              <w:rPr>
                <w:sz w:val="18"/>
                <w:szCs w:val="18"/>
              </w:rPr>
            </w:pPr>
          </w:p>
        </w:tc>
        <w:tc>
          <w:tcPr>
            <w:tcW w:w="1674" w:type="dxa"/>
            <w:gridSpan w:val="2"/>
            <w:vAlign w:val="center"/>
          </w:tcPr>
          <w:p w:rsidR="002920FB" w:rsidRPr="002920FB" w:rsidRDefault="002920FB" w:rsidP="002920FB">
            <w:pPr>
              <w:spacing w:after="0"/>
              <w:jc w:val="both"/>
              <w:rPr>
                <w:sz w:val="18"/>
                <w:szCs w:val="18"/>
              </w:rPr>
            </w:pPr>
            <w:r w:rsidRPr="002920FB">
              <w:rPr>
                <w:sz w:val="18"/>
                <w:szCs w:val="18"/>
              </w:rPr>
              <w:t>Böhnisch, L.</w:t>
            </w:r>
          </w:p>
        </w:tc>
        <w:tc>
          <w:tcPr>
            <w:tcW w:w="2479" w:type="dxa"/>
            <w:gridSpan w:val="3"/>
            <w:vAlign w:val="center"/>
          </w:tcPr>
          <w:p w:rsidR="002920FB" w:rsidRPr="002920FB" w:rsidRDefault="002920FB" w:rsidP="002920FB">
            <w:pPr>
              <w:spacing w:after="0"/>
              <w:jc w:val="both"/>
              <w:rPr>
                <w:sz w:val="18"/>
                <w:szCs w:val="18"/>
                <w:lang w:val="de-DE"/>
              </w:rPr>
            </w:pPr>
            <w:r w:rsidRPr="002920FB">
              <w:rPr>
                <w:sz w:val="18"/>
                <w:szCs w:val="18"/>
                <w:lang w:val="de-DE"/>
              </w:rPr>
              <w:t xml:space="preserve">Jugendliche in landlichen Regionen: ein ost-westdeutscher Verleich </w:t>
            </w:r>
          </w:p>
          <w:p w:rsidR="002920FB" w:rsidRPr="002920FB" w:rsidRDefault="002920FB" w:rsidP="002920FB">
            <w:pPr>
              <w:spacing w:after="0"/>
              <w:jc w:val="both"/>
              <w:rPr>
                <w:sz w:val="18"/>
                <w:szCs w:val="18"/>
                <w:lang w:val="de-DE"/>
              </w:rPr>
            </w:pPr>
            <w:r w:rsidRPr="002920FB">
              <w:rPr>
                <w:sz w:val="18"/>
                <w:szCs w:val="18"/>
                <w:lang w:val="de-DE"/>
              </w:rPr>
              <w:t>orschungsauftrag des Bundesministeriums für Ernährung</w:t>
            </w:r>
          </w:p>
        </w:tc>
        <w:tc>
          <w:tcPr>
            <w:tcW w:w="3666" w:type="dxa"/>
            <w:gridSpan w:val="4"/>
            <w:vAlign w:val="center"/>
          </w:tcPr>
          <w:p w:rsidR="002920FB" w:rsidRPr="002920FB" w:rsidRDefault="002920FB" w:rsidP="002920FB">
            <w:pPr>
              <w:spacing w:after="0"/>
              <w:rPr>
                <w:sz w:val="18"/>
                <w:szCs w:val="18"/>
                <w:lang w:val="de-DE"/>
              </w:rPr>
            </w:pPr>
            <w:r w:rsidRPr="002920FB">
              <w:rPr>
                <w:sz w:val="18"/>
                <w:szCs w:val="18"/>
                <w:lang w:val="de-DE"/>
              </w:rPr>
              <w:t>Landwirtschaft und Forsten, Bonn: Köllen</w:t>
            </w:r>
          </w:p>
        </w:tc>
        <w:tc>
          <w:tcPr>
            <w:tcW w:w="1127" w:type="dxa"/>
            <w:vAlign w:val="center"/>
          </w:tcPr>
          <w:p w:rsidR="002920FB" w:rsidRPr="002920FB" w:rsidRDefault="002920FB" w:rsidP="002920FB">
            <w:pPr>
              <w:spacing w:after="0"/>
              <w:rPr>
                <w:sz w:val="18"/>
                <w:szCs w:val="18"/>
              </w:rPr>
            </w:pPr>
            <w:r w:rsidRPr="002920FB">
              <w:rPr>
                <w:sz w:val="18"/>
                <w:szCs w:val="18"/>
              </w:rPr>
              <w:t>1997</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D7" w:rsidRDefault="00AE18D7" w:rsidP="00121F00">
      <w:pPr>
        <w:spacing w:after="0"/>
      </w:pPr>
      <w:r>
        <w:separator/>
      </w:r>
    </w:p>
  </w:endnote>
  <w:endnote w:type="continuationSeparator" w:id="1">
    <w:p w:rsidR="00AE18D7" w:rsidRDefault="00AE18D7"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D7" w:rsidRDefault="00AE18D7" w:rsidP="00121F00">
      <w:pPr>
        <w:spacing w:after="0"/>
      </w:pPr>
      <w:r>
        <w:separator/>
      </w:r>
    </w:p>
  </w:footnote>
  <w:footnote w:type="continuationSeparator" w:id="1">
    <w:p w:rsidR="00AE18D7" w:rsidRDefault="00AE18D7"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121F00">
          <w:pPr>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121F00">
          <w:pPr>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121F00">
          <w:pPr>
            <w:jc w:val="center"/>
            <w:rPr>
              <w:rFonts w:ascii="Arial" w:hAnsi="Arial" w:cs="Arial"/>
              <w:sz w:val="16"/>
              <w:szCs w:val="16"/>
            </w:rPr>
          </w:pPr>
        </w:p>
        <w:p w:rsidR="00121F00" w:rsidRPr="00121F00" w:rsidRDefault="00121F00" w:rsidP="00121F00">
          <w:pPr>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121F00">
          <w:pPr>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121F00"/>
      </w:tc>
      <w:tc>
        <w:tcPr>
          <w:tcW w:w="6372" w:type="dxa"/>
          <w:tcBorders>
            <w:bottom w:val="single" w:sz="4" w:space="0" w:color="auto"/>
          </w:tcBorders>
          <w:shd w:val="clear" w:color="auto" w:fill="C2D69B" w:themeFill="accent3" w:themeFillTint="99"/>
          <w:vAlign w:val="center"/>
        </w:tcPr>
        <w:p w:rsidR="00121F00" w:rsidRPr="00121F00" w:rsidRDefault="00121F00" w:rsidP="00121F00">
          <w:pPr>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121F00">
          <w:pPr>
            <w:jc w:val="center"/>
          </w:pPr>
        </w:p>
        <w:p w:rsidR="00121F00" w:rsidRPr="00121F00" w:rsidRDefault="00121F00" w:rsidP="00121F00">
          <w:pPr>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121F00">
          <w:pPr>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121F00"/>
      </w:tc>
    </w:tr>
    <w:tr w:rsidR="00121F00" w:rsidRPr="00121F00" w:rsidTr="003E5744">
      <w:tc>
        <w:tcPr>
          <w:tcW w:w="9622" w:type="dxa"/>
          <w:gridSpan w:val="3"/>
          <w:tcBorders>
            <w:left w:val="nil"/>
            <w:bottom w:val="nil"/>
            <w:right w:val="nil"/>
          </w:tcBorders>
        </w:tcPr>
        <w:p w:rsidR="00121F00" w:rsidRPr="00121F00" w:rsidRDefault="00121F00" w:rsidP="00121F00">
          <w:pPr>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2920FB"/>
    <w:rsid w:val="00474BCC"/>
    <w:rsid w:val="007E7597"/>
    <w:rsid w:val="00837713"/>
    <w:rsid w:val="00884F99"/>
    <w:rsid w:val="00AE18D7"/>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2015-01-22T13:22:00Z</dcterms:modified>
</cp:coreProperties>
</file>