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2A" w:rsidRDefault="006D612A" w:rsidP="006D612A"/>
    <w:tbl>
      <w:tblPr>
        <w:tblStyle w:val="TableGrid"/>
        <w:tblpPr w:leftFromText="180" w:rightFromText="180" w:vertAnchor="page" w:horzAnchor="margin" w:tblpY="3508"/>
        <w:tblW w:w="0" w:type="auto"/>
        <w:tblLook w:val="04A0"/>
      </w:tblPr>
      <w:tblGrid>
        <w:gridCol w:w="675"/>
        <w:gridCol w:w="1417"/>
        <w:gridCol w:w="284"/>
        <w:gridCol w:w="1134"/>
        <w:gridCol w:w="567"/>
        <w:gridCol w:w="734"/>
        <w:gridCol w:w="1109"/>
        <w:gridCol w:w="1418"/>
        <w:gridCol w:w="425"/>
        <w:gridCol w:w="709"/>
        <w:gridCol w:w="1150"/>
      </w:tblGrid>
      <w:tr w:rsidR="006D612A" w:rsidRPr="00DA758B" w:rsidTr="006D612A">
        <w:trPr>
          <w:trHeight w:val="420"/>
        </w:trPr>
        <w:tc>
          <w:tcPr>
            <w:tcW w:w="2092" w:type="dxa"/>
            <w:gridSpan w:val="2"/>
            <w:shd w:val="clear" w:color="auto" w:fill="C2D69B" w:themeFill="accent3" w:themeFillTint="99"/>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6D612A" w:rsidRPr="00DA758B" w:rsidRDefault="006D612A" w:rsidP="006D612A">
            <w:pPr>
              <w:spacing w:after="0" w:line="240" w:lineRule="auto"/>
              <w:jc w:val="center"/>
              <w:rPr>
                <w:rFonts w:ascii="Arial" w:hAnsi="Arial" w:cs="Arial"/>
                <w:i/>
                <w:sz w:val="18"/>
                <w:szCs w:val="18"/>
                <w:lang w:val="en-GB"/>
              </w:rPr>
            </w:pPr>
            <w:r w:rsidRPr="00DA758B">
              <w:rPr>
                <w:rFonts w:ascii="Arial" w:hAnsi="Arial" w:cs="Arial"/>
                <w:i/>
                <w:sz w:val="18"/>
                <w:szCs w:val="18"/>
                <w:lang w:val="en-GB"/>
              </w:rPr>
              <w:t>Outlines of Plant Protection</w:t>
            </w:r>
          </w:p>
        </w:tc>
      </w:tr>
      <w:tr w:rsidR="006D612A" w:rsidRPr="00DA758B" w:rsidTr="006D612A">
        <w:tc>
          <w:tcPr>
            <w:tcW w:w="2092" w:type="dxa"/>
            <w:gridSpan w:val="2"/>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3ОАЕ2О10</w:t>
            </w:r>
          </w:p>
        </w:tc>
        <w:tc>
          <w:tcPr>
            <w:tcW w:w="7530" w:type="dxa"/>
            <w:gridSpan w:val="9"/>
            <w:vMerge/>
          </w:tcPr>
          <w:p w:rsidR="006D612A" w:rsidRPr="00DA758B" w:rsidRDefault="006D612A" w:rsidP="006D612A">
            <w:pPr>
              <w:spacing w:after="0" w:line="240" w:lineRule="auto"/>
              <w:rPr>
                <w:lang w:val="en-GB"/>
              </w:rPr>
            </w:pPr>
          </w:p>
        </w:tc>
      </w:tr>
      <w:tr w:rsidR="006D612A" w:rsidRPr="00DA758B" w:rsidTr="006D612A">
        <w:tc>
          <w:tcPr>
            <w:tcW w:w="2092" w:type="dxa"/>
            <w:gridSpan w:val="2"/>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Number of ECTS:5</w:t>
            </w:r>
          </w:p>
        </w:tc>
        <w:tc>
          <w:tcPr>
            <w:tcW w:w="7530" w:type="dxa"/>
            <w:gridSpan w:val="9"/>
            <w:vMerge/>
          </w:tcPr>
          <w:p w:rsidR="006D612A" w:rsidRPr="00DA758B" w:rsidRDefault="006D612A" w:rsidP="006D612A">
            <w:pPr>
              <w:spacing w:after="0" w:line="240" w:lineRule="auto"/>
              <w:rPr>
                <w:lang w:val="en-GB"/>
              </w:rPr>
            </w:pPr>
          </w:p>
        </w:tc>
      </w:tr>
      <w:tr w:rsidR="006D612A" w:rsidRPr="00DA758B" w:rsidTr="006D612A">
        <w:tc>
          <w:tcPr>
            <w:tcW w:w="2092" w:type="dxa"/>
            <w:gridSpan w:val="2"/>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6D612A" w:rsidRPr="00DA758B" w:rsidRDefault="006D612A" w:rsidP="006D612A">
            <w:pPr>
              <w:spacing w:after="0" w:line="240" w:lineRule="auto"/>
              <w:rPr>
                <w:sz w:val="18"/>
                <w:szCs w:val="18"/>
                <w:lang w:val="en-GB"/>
              </w:rPr>
            </w:pPr>
            <w:r w:rsidRPr="00DA758B">
              <w:rPr>
                <w:sz w:val="18"/>
                <w:szCs w:val="18"/>
                <w:lang w:val="en-GB"/>
              </w:rPr>
              <w:t>Marija F. Zgomba; Dušan S. Marin</w:t>
            </w:r>
            <w:r w:rsidR="00201329">
              <w:rPr>
                <w:sz w:val="18"/>
                <w:szCs w:val="18"/>
                <w:lang w:val="en-GB"/>
              </w:rPr>
              <w:t>k</w:t>
            </w:r>
            <w:r w:rsidRPr="00DA758B">
              <w:rPr>
                <w:sz w:val="18"/>
                <w:szCs w:val="18"/>
                <w:lang w:val="en-GB"/>
              </w:rPr>
              <w:t>ović</w:t>
            </w:r>
          </w:p>
        </w:tc>
      </w:tr>
      <w:tr w:rsidR="006D612A" w:rsidRPr="00DA758B" w:rsidTr="006D612A">
        <w:tc>
          <w:tcPr>
            <w:tcW w:w="2092" w:type="dxa"/>
            <w:gridSpan w:val="2"/>
            <w:tcBorders>
              <w:bottom w:val="single" w:sz="4" w:space="0" w:color="auto"/>
            </w:tcBorders>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6D612A" w:rsidRPr="00DA758B" w:rsidRDefault="006D612A" w:rsidP="006D612A">
            <w:pPr>
              <w:spacing w:after="0" w:line="240" w:lineRule="auto"/>
              <w:rPr>
                <w:lang w:val="en-GB"/>
              </w:rPr>
            </w:pPr>
            <w:r w:rsidRPr="00DA758B">
              <w:rPr>
                <w:sz w:val="18"/>
                <w:szCs w:val="18"/>
                <w:lang w:val="en-GB"/>
              </w:rPr>
              <w:t>Mandatory</w:t>
            </w:r>
          </w:p>
        </w:tc>
      </w:tr>
      <w:tr w:rsidR="006D612A" w:rsidRPr="00DA758B" w:rsidTr="006D612A">
        <w:trPr>
          <w:trHeight w:val="227"/>
        </w:trPr>
        <w:tc>
          <w:tcPr>
            <w:tcW w:w="9622" w:type="dxa"/>
            <w:gridSpan w:val="11"/>
            <w:tcBorders>
              <w:bottom w:val="single" w:sz="4" w:space="0" w:color="auto"/>
            </w:tcBorders>
            <w:shd w:val="clear" w:color="auto" w:fill="C2D69B" w:themeFill="accent3" w:themeFillTint="99"/>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6D612A" w:rsidRPr="00DA758B" w:rsidTr="006D612A">
        <w:trPr>
          <w:trHeight w:val="227"/>
        </w:trPr>
        <w:tc>
          <w:tcPr>
            <w:tcW w:w="2092" w:type="dxa"/>
            <w:gridSpan w:val="2"/>
            <w:tcBorders>
              <w:bottom w:val="single" w:sz="4" w:space="0" w:color="auto"/>
            </w:tcBorders>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6D612A" w:rsidRPr="00DA758B" w:rsidTr="006D612A">
        <w:tc>
          <w:tcPr>
            <w:tcW w:w="2092" w:type="dxa"/>
            <w:gridSpan w:val="2"/>
            <w:shd w:val="clear" w:color="auto" w:fill="C2D69B" w:themeFill="accent3" w:themeFillTint="99"/>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6D612A" w:rsidRPr="00DA758B" w:rsidTr="006D612A">
        <w:tc>
          <w:tcPr>
            <w:tcW w:w="9622" w:type="dxa"/>
            <w:gridSpan w:val="11"/>
          </w:tcPr>
          <w:p w:rsidR="006D612A" w:rsidRPr="00DA758B" w:rsidRDefault="006D612A" w:rsidP="006D612A">
            <w:pPr>
              <w:pStyle w:val="ListParagraph"/>
              <w:numPr>
                <w:ilvl w:val="0"/>
                <w:numId w:val="3"/>
              </w:numPr>
              <w:spacing w:after="0" w:line="240" w:lineRule="auto"/>
              <w:ind w:left="360"/>
              <w:rPr>
                <w:rFonts w:ascii="Arial" w:hAnsi="Arial" w:cs="Arial"/>
                <w:sz w:val="16"/>
                <w:szCs w:val="16"/>
                <w:lang w:val="en-GB"/>
              </w:rPr>
            </w:pPr>
            <w:r w:rsidRPr="00DA758B">
              <w:rPr>
                <w:rFonts w:ascii="Arial" w:hAnsi="Arial" w:cs="Arial"/>
                <w:sz w:val="16"/>
                <w:szCs w:val="16"/>
                <w:lang w:val="en-GB"/>
              </w:rPr>
              <w:t>Educational goal</w:t>
            </w:r>
          </w:p>
          <w:p w:rsidR="006D612A" w:rsidRPr="00DA758B" w:rsidRDefault="006D612A" w:rsidP="006D612A">
            <w:pPr>
              <w:spacing w:after="0" w:line="240" w:lineRule="auto"/>
              <w:rPr>
                <w:sz w:val="18"/>
                <w:szCs w:val="18"/>
                <w:lang w:val="en-GB"/>
              </w:rPr>
            </w:pPr>
            <w:r w:rsidRPr="00DA758B">
              <w:rPr>
                <w:sz w:val="18"/>
                <w:szCs w:val="18"/>
                <w:lang w:val="en-GB"/>
              </w:rPr>
              <w:t xml:space="preserve">Introducing students to pests, microorganisms, weeds, pesticides, economically significant pests, types and sizes of damage, plant protection organization, pesticide classification (by use, production form, chemical composition, toxicity), integral plant protection system and alternative methods of pest reduction.  </w:t>
            </w:r>
          </w:p>
        </w:tc>
      </w:tr>
      <w:tr w:rsidR="006D612A" w:rsidRPr="00DA758B" w:rsidTr="006D612A">
        <w:tc>
          <w:tcPr>
            <w:tcW w:w="9622" w:type="dxa"/>
            <w:gridSpan w:val="11"/>
          </w:tcPr>
          <w:p w:rsidR="006D612A" w:rsidRPr="00DA758B" w:rsidRDefault="006D612A" w:rsidP="006D612A">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Educational outcomes</w:t>
            </w:r>
          </w:p>
          <w:p w:rsidR="006D612A" w:rsidRPr="00DA758B" w:rsidRDefault="006D612A" w:rsidP="006D612A">
            <w:pPr>
              <w:spacing w:after="0" w:line="240" w:lineRule="auto"/>
              <w:rPr>
                <w:sz w:val="18"/>
                <w:szCs w:val="18"/>
                <w:lang w:val="en-GB"/>
              </w:rPr>
            </w:pPr>
            <w:r w:rsidRPr="00DA758B">
              <w:rPr>
                <w:sz w:val="18"/>
                <w:szCs w:val="18"/>
                <w:lang w:val="en-GB"/>
              </w:rPr>
              <w:t>Students will be able to recognize types of damage, realize the possibilities of protecting plants and environment from contamination and unwanted pesticide effects, and the importance of withholding period. They will be able to determine the maximum number of treatments. Students will also be able to determine damages caused by the activity of biotic and abiotic factors.</w:t>
            </w:r>
          </w:p>
        </w:tc>
      </w:tr>
      <w:tr w:rsidR="006D612A" w:rsidRPr="00DA758B" w:rsidTr="006D612A">
        <w:tc>
          <w:tcPr>
            <w:tcW w:w="9622" w:type="dxa"/>
            <w:gridSpan w:val="11"/>
          </w:tcPr>
          <w:p w:rsidR="006D612A" w:rsidRPr="00DA758B" w:rsidRDefault="006D612A" w:rsidP="006D612A">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Course content</w:t>
            </w:r>
          </w:p>
          <w:p w:rsidR="006D612A" w:rsidRPr="00117D12" w:rsidRDefault="006D612A" w:rsidP="006D612A">
            <w:pPr>
              <w:spacing w:after="0" w:line="240" w:lineRule="auto"/>
              <w:rPr>
                <w:rFonts w:ascii="Arial" w:hAnsi="Arial" w:cs="Arial"/>
                <w:sz w:val="16"/>
                <w:szCs w:val="16"/>
                <w:lang w:val="en-GB"/>
              </w:rPr>
            </w:pPr>
            <w:r w:rsidRPr="00117D12">
              <w:rPr>
                <w:rFonts w:ascii="Arial" w:hAnsi="Arial" w:cs="Arial"/>
                <w:i/>
                <w:sz w:val="16"/>
                <w:szCs w:val="16"/>
                <w:lang w:val="en-GB"/>
              </w:rPr>
              <w:t>Theoretical instruction</w:t>
            </w:r>
          </w:p>
          <w:p w:rsidR="006D612A" w:rsidRPr="00117D12" w:rsidRDefault="006D612A" w:rsidP="006D612A">
            <w:pPr>
              <w:spacing w:after="0" w:line="240" w:lineRule="auto"/>
              <w:rPr>
                <w:rFonts w:ascii="Arial" w:hAnsi="Arial" w:cs="Arial"/>
                <w:sz w:val="16"/>
                <w:szCs w:val="16"/>
                <w:lang w:val="en-GB"/>
              </w:rPr>
            </w:pPr>
            <w:r w:rsidRPr="00117D12">
              <w:rPr>
                <w:rFonts w:ascii="Arial" w:hAnsi="Arial" w:cs="Arial"/>
                <w:sz w:val="16"/>
                <w:szCs w:val="16"/>
                <w:lang w:val="en-GB"/>
              </w:rPr>
              <w:t>Pests, microorganisms as pathogens, weeds and pesticides. Basic types of farming plant diseases and their suppression; most common diseases, symptoms. Economically important pests (insects, mites, nematodes, rodents, birds, snails), damage types, damage size and ways to suppressing it. Pesticide classification. Unwanted effects of pesticides. Plant protection methods. Integral plant protection system. Implementation of unconventional and ecologically acceptable strategies in plant protection. Types and size of damage caused by pathogens, pests and weeds. Plan protection regulations.</w:t>
            </w:r>
          </w:p>
          <w:p w:rsidR="006D612A" w:rsidRPr="00117D12" w:rsidRDefault="006D612A" w:rsidP="006D612A">
            <w:pPr>
              <w:spacing w:after="0" w:line="240" w:lineRule="auto"/>
              <w:rPr>
                <w:rFonts w:ascii="Arial" w:hAnsi="Arial" w:cs="Arial"/>
                <w:i/>
                <w:sz w:val="16"/>
                <w:szCs w:val="16"/>
                <w:lang w:val="en-GB"/>
              </w:rPr>
            </w:pPr>
            <w:r w:rsidRPr="00117D12">
              <w:rPr>
                <w:rFonts w:ascii="Arial" w:hAnsi="Arial" w:cs="Arial"/>
                <w:i/>
                <w:sz w:val="16"/>
                <w:szCs w:val="16"/>
                <w:lang w:val="en-GB"/>
              </w:rPr>
              <w:t>Practical instruction</w:t>
            </w:r>
          </w:p>
          <w:p w:rsidR="006D612A" w:rsidRPr="00117D12" w:rsidRDefault="006D612A" w:rsidP="006D612A">
            <w:pPr>
              <w:spacing w:after="0" w:line="240" w:lineRule="auto"/>
              <w:rPr>
                <w:rFonts w:ascii="Arial" w:hAnsi="Arial" w:cs="Arial"/>
                <w:sz w:val="16"/>
                <w:szCs w:val="16"/>
                <w:lang w:val="en-GB"/>
              </w:rPr>
            </w:pPr>
            <w:r w:rsidRPr="00117D12">
              <w:rPr>
                <w:rFonts w:ascii="Arial" w:hAnsi="Arial" w:cs="Arial"/>
                <w:sz w:val="16"/>
                <w:szCs w:val="16"/>
                <w:lang w:val="en-GB"/>
              </w:rPr>
              <w:t>Introduction to basic diseases (places of origin, symptoms, morphological characteristics, preconditions to spread the disease, biological parameters, and abiotic factors favourable to disease development). Dominant pests. Disease symptoms, damage types. Formulations of chemical and unconventional medicine. Determining doses and concentration of pesticides and biological agents.</w:t>
            </w:r>
          </w:p>
        </w:tc>
      </w:tr>
      <w:tr w:rsidR="006D612A" w:rsidRPr="00DA758B" w:rsidTr="006D612A">
        <w:tc>
          <w:tcPr>
            <w:tcW w:w="9622" w:type="dxa"/>
            <w:gridSpan w:val="11"/>
            <w:tcBorders>
              <w:bottom w:val="single" w:sz="4" w:space="0" w:color="auto"/>
            </w:tcBorders>
          </w:tcPr>
          <w:p w:rsidR="006D612A" w:rsidRPr="00DA758B" w:rsidRDefault="006D612A" w:rsidP="006D612A">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Teaching methods</w:t>
            </w:r>
          </w:p>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 xml:space="preserve">Lectures and conversation. Illustrations, presentations of symptoms and pesticides on video. Practical methods include laboratory work, determining materials and parameters relevant for safe pesticide application.  </w:t>
            </w:r>
          </w:p>
        </w:tc>
      </w:tr>
      <w:tr w:rsidR="006D612A" w:rsidRPr="00DA758B" w:rsidTr="006D612A">
        <w:tc>
          <w:tcPr>
            <w:tcW w:w="9622" w:type="dxa"/>
            <w:gridSpan w:val="11"/>
            <w:tcBorders>
              <w:bottom w:val="single" w:sz="4" w:space="0" w:color="auto"/>
            </w:tcBorders>
            <w:shd w:val="clear" w:color="auto" w:fill="C2D69B" w:themeFill="accent3" w:themeFillTint="99"/>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6D612A" w:rsidRPr="00DA758B" w:rsidTr="006D612A">
        <w:tc>
          <w:tcPr>
            <w:tcW w:w="2376" w:type="dxa"/>
            <w:gridSpan w:val="3"/>
            <w:shd w:val="clear" w:color="auto" w:fill="auto"/>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6D612A" w:rsidRPr="00DA758B" w:rsidRDefault="006D612A" w:rsidP="006D612A">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6D612A" w:rsidRPr="00DA758B" w:rsidTr="006D612A">
        <w:tc>
          <w:tcPr>
            <w:tcW w:w="2376" w:type="dxa"/>
            <w:gridSpan w:val="3"/>
            <w:shd w:val="clear" w:color="auto" w:fill="auto"/>
            <w:vAlign w:val="center"/>
          </w:tcPr>
          <w:p w:rsidR="006D612A" w:rsidRPr="00DA758B" w:rsidRDefault="006D612A" w:rsidP="006D612A">
            <w:pPr>
              <w:spacing w:after="0" w:line="240" w:lineRule="auto"/>
              <w:rPr>
                <w:sz w:val="18"/>
                <w:szCs w:val="18"/>
                <w:lang w:val="en-GB"/>
              </w:rPr>
            </w:pPr>
            <w:r w:rsidRPr="00DA758B">
              <w:rPr>
                <w:sz w:val="18"/>
                <w:szCs w:val="18"/>
                <w:lang w:val="en-GB"/>
              </w:rPr>
              <w:t>Lectures</w:t>
            </w:r>
          </w:p>
        </w:tc>
        <w:tc>
          <w:tcPr>
            <w:tcW w:w="1134" w:type="dxa"/>
            <w:shd w:val="clear" w:color="auto" w:fill="auto"/>
            <w:vAlign w:val="center"/>
          </w:tcPr>
          <w:p w:rsidR="006D612A" w:rsidRPr="00DA758B" w:rsidRDefault="006D612A" w:rsidP="006D612A">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2527" w:type="dxa"/>
            <w:gridSpan w:val="2"/>
            <w:shd w:val="clear" w:color="auto" w:fill="auto"/>
            <w:vAlign w:val="center"/>
          </w:tcPr>
          <w:p w:rsidR="006D612A" w:rsidRPr="00DA758B" w:rsidRDefault="006D612A" w:rsidP="006D612A">
            <w:pPr>
              <w:spacing w:after="0" w:line="240" w:lineRule="auto"/>
              <w:jc w:val="center"/>
              <w:rPr>
                <w:rFonts w:ascii="Arial" w:hAnsi="Arial" w:cs="Arial"/>
                <w:sz w:val="14"/>
                <w:szCs w:val="14"/>
                <w:lang w:val="en-GB"/>
              </w:rPr>
            </w:pPr>
            <w:r w:rsidRPr="00DA758B">
              <w:rPr>
                <w:rFonts w:ascii="Arial" w:hAnsi="Arial" w:cs="Arial"/>
                <w:sz w:val="14"/>
                <w:szCs w:val="14"/>
                <w:lang w:val="en-GB"/>
              </w:rPr>
              <w:t>Oral exam</w:t>
            </w:r>
          </w:p>
        </w:tc>
        <w:tc>
          <w:tcPr>
            <w:tcW w:w="1134" w:type="dxa"/>
            <w:gridSpan w:val="2"/>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30-70</w:t>
            </w:r>
          </w:p>
        </w:tc>
      </w:tr>
      <w:tr w:rsidR="006D612A" w:rsidRPr="00DA758B" w:rsidTr="006D612A">
        <w:tc>
          <w:tcPr>
            <w:tcW w:w="2376" w:type="dxa"/>
            <w:gridSpan w:val="3"/>
            <w:shd w:val="clear" w:color="auto" w:fill="auto"/>
            <w:vAlign w:val="center"/>
          </w:tcPr>
          <w:p w:rsidR="006D612A" w:rsidRPr="00DA758B" w:rsidRDefault="006D612A" w:rsidP="006D612A">
            <w:pPr>
              <w:spacing w:after="0" w:line="240" w:lineRule="auto"/>
              <w:rPr>
                <w:sz w:val="18"/>
                <w:szCs w:val="18"/>
                <w:lang w:val="en-GB"/>
              </w:rPr>
            </w:pPr>
            <w:r w:rsidRPr="00DA758B">
              <w:rPr>
                <w:sz w:val="18"/>
                <w:szCs w:val="18"/>
                <w:lang w:val="en-GB"/>
              </w:rPr>
              <w:t>Tests</w:t>
            </w:r>
          </w:p>
        </w:tc>
        <w:tc>
          <w:tcPr>
            <w:tcW w:w="1134" w:type="dxa"/>
            <w:shd w:val="clear" w:color="auto" w:fill="auto"/>
            <w:vAlign w:val="center"/>
          </w:tcPr>
          <w:p w:rsidR="006D612A" w:rsidRPr="00DA758B" w:rsidRDefault="006D612A" w:rsidP="006D612A">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20</w:t>
            </w:r>
          </w:p>
        </w:tc>
        <w:tc>
          <w:tcPr>
            <w:tcW w:w="4811" w:type="dxa"/>
            <w:gridSpan w:val="5"/>
            <w:vMerge w:val="restart"/>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p>
        </w:tc>
      </w:tr>
      <w:tr w:rsidR="006D612A" w:rsidRPr="00DA758B" w:rsidTr="006D612A">
        <w:tc>
          <w:tcPr>
            <w:tcW w:w="2376" w:type="dxa"/>
            <w:gridSpan w:val="3"/>
            <w:shd w:val="clear" w:color="auto" w:fill="auto"/>
            <w:vAlign w:val="center"/>
          </w:tcPr>
          <w:p w:rsidR="006D612A" w:rsidRPr="00DA758B" w:rsidRDefault="006D612A" w:rsidP="006D612A">
            <w:pPr>
              <w:spacing w:after="0" w:line="240" w:lineRule="auto"/>
              <w:rPr>
                <w:sz w:val="18"/>
                <w:szCs w:val="18"/>
                <w:lang w:val="en-GB"/>
              </w:rPr>
            </w:pPr>
            <w:r w:rsidRPr="00DA758B">
              <w:rPr>
                <w:sz w:val="18"/>
                <w:szCs w:val="18"/>
                <w:lang w:val="en-GB"/>
              </w:rPr>
              <w:t>Practical work</w:t>
            </w:r>
          </w:p>
        </w:tc>
        <w:tc>
          <w:tcPr>
            <w:tcW w:w="1134" w:type="dxa"/>
            <w:shd w:val="clear" w:color="auto" w:fill="auto"/>
            <w:vAlign w:val="center"/>
          </w:tcPr>
          <w:p w:rsidR="006D612A" w:rsidRPr="00DA758B" w:rsidRDefault="006D612A" w:rsidP="006D612A">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20</w:t>
            </w:r>
          </w:p>
        </w:tc>
        <w:tc>
          <w:tcPr>
            <w:tcW w:w="4811" w:type="dxa"/>
            <w:gridSpan w:val="5"/>
            <w:vMerge/>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p>
        </w:tc>
      </w:tr>
      <w:tr w:rsidR="006D612A" w:rsidRPr="00DA758B" w:rsidTr="006D612A">
        <w:tc>
          <w:tcPr>
            <w:tcW w:w="2376" w:type="dxa"/>
            <w:gridSpan w:val="3"/>
            <w:tcBorders>
              <w:bottom w:val="single" w:sz="4" w:space="0" w:color="auto"/>
            </w:tcBorders>
            <w:shd w:val="clear" w:color="auto" w:fill="auto"/>
            <w:vAlign w:val="center"/>
          </w:tcPr>
          <w:p w:rsidR="006D612A" w:rsidRPr="00DA758B" w:rsidRDefault="006D612A" w:rsidP="006D612A">
            <w:pPr>
              <w:spacing w:after="0" w:line="240" w:lineRule="auto"/>
              <w:rPr>
                <w:rFonts w:ascii="Arial" w:hAnsi="Arial" w:cs="Arial"/>
                <w:sz w:val="16"/>
                <w:szCs w:val="16"/>
                <w:lang w:val="en-GB"/>
              </w:rPr>
            </w:pPr>
            <w:r w:rsidRPr="00DA758B">
              <w:rPr>
                <w:sz w:val="16"/>
                <w:szCs w:val="16"/>
                <w:lang w:val="en-GB"/>
              </w:rPr>
              <w:t>Preliminary tests</w:t>
            </w:r>
          </w:p>
        </w:tc>
        <w:tc>
          <w:tcPr>
            <w:tcW w:w="1134" w:type="dxa"/>
            <w:tcBorders>
              <w:bottom w:val="single" w:sz="4" w:space="0" w:color="auto"/>
            </w:tcBorders>
            <w:shd w:val="clear" w:color="auto" w:fill="auto"/>
            <w:vAlign w:val="center"/>
          </w:tcPr>
          <w:p w:rsidR="006D612A" w:rsidRPr="00DA758B" w:rsidRDefault="006D612A" w:rsidP="006D612A">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r w:rsidRPr="00DA758B">
              <w:rPr>
                <w:rFonts w:ascii="Arial" w:hAnsi="Arial" w:cs="Arial"/>
                <w:sz w:val="16"/>
                <w:szCs w:val="16"/>
                <w:lang w:val="en-GB"/>
              </w:rPr>
              <w:t>25</w:t>
            </w:r>
          </w:p>
        </w:tc>
        <w:tc>
          <w:tcPr>
            <w:tcW w:w="4811" w:type="dxa"/>
            <w:gridSpan w:val="5"/>
            <w:vMerge/>
            <w:tcBorders>
              <w:bottom w:val="single" w:sz="4" w:space="0" w:color="auto"/>
            </w:tcBorders>
            <w:shd w:val="clear" w:color="auto" w:fill="auto"/>
            <w:vAlign w:val="center"/>
          </w:tcPr>
          <w:p w:rsidR="006D612A" w:rsidRPr="00DA758B" w:rsidRDefault="006D612A" w:rsidP="006D612A">
            <w:pPr>
              <w:spacing w:after="0" w:line="240" w:lineRule="auto"/>
              <w:jc w:val="center"/>
              <w:rPr>
                <w:rFonts w:ascii="Arial" w:hAnsi="Arial" w:cs="Arial"/>
                <w:sz w:val="16"/>
                <w:szCs w:val="16"/>
                <w:lang w:val="en-GB"/>
              </w:rPr>
            </w:pPr>
          </w:p>
        </w:tc>
      </w:tr>
      <w:tr w:rsidR="006D612A" w:rsidRPr="00DA758B" w:rsidTr="006D612A">
        <w:tc>
          <w:tcPr>
            <w:tcW w:w="9622" w:type="dxa"/>
            <w:gridSpan w:val="11"/>
            <w:shd w:val="clear" w:color="auto" w:fill="C2D69B" w:themeFill="accent3" w:themeFillTint="99"/>
            <w:vAlign w:val="center"/>
          </w:tcPr>
          <w:p w:rsidR="006D612A" w:rsidRPr="00DA758B" w:rsidRDefault="006D612A" w:rsidP="006D612A">
            <w:pPr>
              <w:spacing w:after="0" w:line="240" w:lineRule="auto"/>
              <w:jc w:val="center"/>
              <w:rPr>
                <w:rFonts w:cs="Arial"/>
                <w:sz w:val="18"/>
                <w:szCs w:val="18"/>
                <w:lang w:val="en-GB"/>
              </w:rPr>
            </w:pPr>
            <w:r w:rsidRPr="00DA758B">
              <w:rPr>
                <w:rFonts w:cs="Arial"/>
                <w:sz w:val="18"/>
                <w:szCs w:val="18"/>
                <w:lang w:val="en-GB"/>
              </w:rPr>
              <w:t xml:space="preserve">Literature </w:t>
            </w:r>
          </w:p>
        </w:tc>
      </w:tr>
      <w:tr w:rsidR="006D612A" w:rsidRPr="00DA758B" w:rsidTr="006D612A">
        <w:tc>
          <w:tcPr>
            <w:tcW w:w="675" w:type="dxa"/>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Ord.</w:t>
            </w:r>
          </w:p>
        </w:tc>
        <w:tc>
          <w:tcPr>
            <w:tcW w:w="1701" w:type="dxa"/>
            <w:gridSpan w:val="2"/>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Author</w:t>
            </w:r>
          </w:p>
        </w:tc>
        <w:tc>
          <w:tcPr>
            <w:tcW w:w="2435" w:type="dxa"/>
            <w:gridSpan w:val="3"/>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Title</w:t>
            </w:r>
          </w:p>
        </w:tc>
        <w:tc>
          <w:tcPr>
            <w:tcW w:w="3661" w:type="dxa"/>
            <w:gridSpan w:val="4"/>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Publisher</w:t>
            </w:r>
          </w:p>
        </w:tc>
        <w:tc>
          <w:tcPr>
            <w:tcW w:w="1150" w:type="dxa"/>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Year</w:t>
            </w:r>
          </w:p>
        </w:tc>
      </w:tr>
      <w:tr w:rsidR="006D612A" w:rsidRPr="00DA758B" w:rsidTr="006D612A">
        <w:tc>
          <w:tcPr>
            <w:tcW w:w="675" w:type="dxa"/>
            <w:vAlign w:val="center"/>
          </w:tcPr>
          <w:p w:rsidR="006D612A" w:rsidRPr="006D612A" w:rsidRDefault="006D612A" w:rsidP="006D612A">
            <w:pPr>
              <w:pStyle w:val="ListParagraph"/>
              <w:numPr>
                <w:ilvl w:val="0"/>
                <w:numId w:val="4"/>
              </w:numPr>
              <w:spacing w:after="0" w:line="240" w:lineRule="auto"/>
              <w:jc w:val="center"/>
              <w:rPr>
                <w:rFonts w:cs="Arial"/>
                <w:sz w:val="16"/>
                <w:szCs w:val="18"/>
                <w:lang w:val="en-GB"/>
              </w:rPr>
            </w:pPr>
          </w:p>
        </w:tc>
        <w:tc>
          <w:tcPr>
            <w:tcW w:w="1701" w:type="dxa"/>
            <w:gridSpan w:val="2"/>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Čamprag D.</w:t>
            </w:r>
          </w:p>
        </w:tc>
        <w:tc>
          <w:tcPr>
            <w:tcW w:w="2435" w:type="dxa"/>
            <w:gridSpan w:val="3"/>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Integralna zaštita ratarskih kultura</w:t>
            </w:r>
          </w:p>
        </w:tc>
        <w:tc>
          <w:tcPr>
            <w:tcW w:w="3661" w:type="dxa"/>
            <w:gridSpan w:val="4"/>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Poljoprivredni fakultet, Novi Sad</w:t>
            </w:r>
          </w:p>
        </w:tc>
        <w:tc>
          <w:tcPr>
            <w:tcW w:w="1150" w:type="dxa"/>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2000</w:t>
            </w:r>
          </w:p>
        </w:tc>
      </w:tr>
      <w:tr w:rsidR="006D612A" w:rsidRPr="00DA758B" w:rsidTr="006D612A">
        <w:tc>
          <w:tcPr>
            <w:tcW w:w="675" w:type="dxa"/>
            <w:vAlign w:val="center"/>
          </w:tcPr>
          <w:p w:rsidR="006D612A" w:rsidRPr="006D612A" w:rsidRDefault="006D612A" w:rsidP="006D612A">
            <w:pPr>
              <w:pStyle w:val="ListParagraph"/>
              <w:numPr>
                <w:ilvl w:val="0"/>
                <w:numId w:val="4"/>
              </w:numPr>
              <w:spacing w:after="0" w:line="240" w:lineRule="auto"/>
              <w:jc w:val="center"/>
              <w:rPr>
                <w:rFonts w:cs="Arial"/>
                <w:sz w:val="16"/>
                <w:szCs w:val="18"/>
                <w:lang w:val="en-GB"/>
              </w:rPr>
            </w:pPr>
          </w:p>
        </w:tc>
        <w:tc>
          <w:tcPr>
            <w:tcW w:w="1701" w:type="dxa"/>
            <w:gridSpan w:val="2"/>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Almaši R., Almaši Š i Injac M.</w:t>
            </w:r>
          </w:p>
        </w:tc>
        <w:tc>
          <w:tcPr>
            <w:tcW w:w="2435" w:type="dxa"/>
            <w:gridSpan w:val="3"/>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Štetočine jabuke</w:t>
            </w:r>
          </w:p>
        </w:tc>
        <w:tc>
          <w:tcPr>
            <w:tcW w:w="3661" w:type="dxa"/>
            <w:gridSpan w:val="4"/>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Poljoprivredni fakultet, Novi Sad</w:t>
            </w:r>
          </w:p>
        </w:tc>
        <w:tc>
          <w:tcPr>
            <w:tcW w:w="1150" w:type="dxa"/>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2004</w:t>
            </w:r>
          </w:p>
        </w:tc>
      </w:tr>
      <w:tr w:rsidR="006D612A" w:rsidRPr="00DA758B" w:rsidTr="006D612A">
        <w:tc>
          <w:tcPr>
            <w:tcW w:w="675" w:type="dxa"/>
            <w:vAlign w:val="center"/>
          </w:tcPr>
          <w:p w:rsidR="006D612A" w:rsidRPr="006D612A" w:rsidRDefault="006D612A" w:rsidP="006D612A">
            <w:pPr>
              <w:pStyle w:val="ListParagraph"/>
              <w:numPr>
                <w:ilvl w:val="0"/>
                <w:numId w:val="4"/>
              </w:numPr>
              <w:spacing w:after="0" w:line="240" w:lineRule="auto"/>
              <w:jc w:val="center"/>
              <w:rPr>
                <w:rFonts w:cs="Arial"/>
                <w:sz w:val="16"/>
                <w:szCs w:val="18"/>
                <w:lang w:val="en-GB"/>
              </w:rPr>
            </w:pPr>
          </w:p>
        </w:tc>
        <w:tc>
          <w:tcPr>
            <w:tcW w:w="1701" w:type="dxa"/>
            <w:gridSpan w:val="2"/>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Šovljanski R., Lazić S.</w:t>
            </w:r>
          </w:p>
        </w:tc>
        <w:tc>
          <w:tcPr>
            <w:tcW w:w="2435" w:type="dxa"/>
            <w:gridSpan w:val="3"/>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Osnovi fitofarmacije</w:t>
            </w:r>
          </w:p>
        </w:tc>
        <w:tc>
          <w:tcPr>
            <w:tcW w:w="3661" w:type="dxa"/>
            <w:gridSpan w:val="4"/>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Poljoprivredni fakultet, Novi Sad</w:t>
            </w:r>
          </w:p>
        </w:tc>
        <w:tc>
          <w:tcPr>
            <w:tcW w:w="1150" w:type="dxa"/>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2007</w:t>
            </w:r>
          </w:p>
        </w:tc>
      </w:tr>
      <w:tr w:rsidR="006D612A" w:rsidRPr="00DA758B" w:rsidTr="006D612A">
        <w:trPr>
          <w:trHeight w:val="90"/>
        </w:trPr>
        <w:tc>
          <w:tcPr>
            <w:tcW w:w="675" w:type="dxa"/>
            <w:vAlign w:val="center"/>
          </w:tcPr>
          <w:p w:rsidR="006D612A" w:rsidRPr="006D612A" w:rsidRDefault="006D612A" w:rsidP="006D612A">
            <w:pPr>
              <w:pStyle w:val="ListParagraph"/>
              <w:numPr>
                <w:ilvl w:val="0"/>
                <w:numId w:val="4"/>
              </w:numPr>
              <w:spacing w:after="0" w:line="240" w:lineRule="auto"/>
              <w:jc w:val="center"/>
              <w:rPr>
                <w:rFonts w:cs="Arial"/>
                <w:sz w:val="16"/>
                <w:szCs w:val="18"/>
                <w:lang w:val="en-GB"/>
              </w:rPr>
            </w:pPr>
          </w:p>
        </w:tc>
        <w:tc>
          <w:tcPr>
            <w:tcW w:w="1701" w:type="dxa"/>
            <w:gridSpan w:val="2"/>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Zgomba M.</w:t>
            </w:r>
          </w:p>
        </w:tc>
        <w:tc>
          <w:tcPr>
            <w:tcW w:w="2435" w:type="dxa"/>
            <w:gridSpan w:val="3"/>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Zaštita bilja</w:t>
            </w:r>
          </w:p>
        </w:tc>
        <w:tc>
          <w:tcPr>
            <w:tcW w:w="3661" w:type="dxa"/>
            <w:gridSpan w:val="4"/>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Poljoprivredni fakultet, Novi Sad</w:t>
            </w:r>
          </w:p>
        </w:tc>
        <w:tc>
          <w:tcPr>
            <w:tcW w:w="1150" w:type="dxa"/>
            <w:vAlign w:val="center"/>
          </w:tcPr>
          <w:p w:rsidR="006D612A" w:rsidRPr="006D612A" w:rsidRDefault="006D612A" w:rsidP="006D612A">
            <w:pPr>
              <w:spacing w:after="0" w:line="240" w:lineRule="auto"/>
              <w:jc w:val="center"/>
              <w:rPr>
                <w:rFonts w:cs="Arial"/>
                <w:sz w:val="16"/>
                <w:szCs w:val="18"/>
                <w:lang w:val="en-GB"/>
              </w:rPr>
            </w:pPr>
            <w:r w:rsidRPr="006D612A">
              <w:rPr>
                <w:rFonts w:cs="Arial"/>
                <w:sz w:val="16"/>
                <w:szCs w:val="18"/>
                <w:lang w:val="en-GB"/>
              </w:rPr>
              <w:t>2010</w:t>
            </w:r>
          </w:p>
        </w:tc>
      </w:tr>
    </w:tbl>
    <w:p w:rsidR="006D612A" w:rsidRDefault="006D612A" w:rsidP="006D612A"/>
    <w:p w:rsidR="006D612A" w:rsidRDefault="006D612A" w:rsidP="006D612A"/>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22" w:rsidRDefault="00466E22" w:rsidP="00945071">
      <w:pPr>
        <w:spacing w:after="0" w:line="240" w:lineRule="auto"/>
      </w:pPr>
      <w:r>
        <w:separator/>
      </w:r>
    </w:p>
  </w:endnote>
  <w:endnote w:type="continuationSeparator" w:id="1">
    <w:p w:rsidR="00466E22" w:rsidRDefault="00466E22" w:rsidP="00945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22" w:rsidRDefault="00466E22" w:rsidP="00945071">
      <w:pPr>
        <w:spacing w:after="0" w:line="240" w:lineRule="auto"/>
      </w:pPr>
      <w:r>
        <w:separator/>
      </w:r>
    </w:p>
  </w:footnote>
  <w:footnote w:type="continuationSeparator" w:id="1">
    <w:p w:rsidR="00466E22" w:rsidRDefault="00466E22" w:rsidP="00945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6D612A"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6D612A"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466E22" w:rsidP="003E5744">
          <w:pPr>
            <w:spacing w:after="0" w:line="240" w:lineRule="auto"/>
            <w:jc w:val="center"/>
            <w:rPr>
              <w:rFonts w:ascii="Arial" w:hAnsi="Arial" w:cs="Arial"/>
              <w:sz w:val="16"/>
              <w:szCs w:val="16"/>
            </w:rPr>
          </w:pPr>
        </w:p>
        <w:p w:rsidR="007A6AC5" w:rsidRPr="00617B42" w:rsidRDefault="006D612A"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6D612A"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466E22"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6D612A" w:rsidP="003E5744">
          <w:pPr>
            <w:spacing w:after="0" w:line="240" w:lineRule="auto"/>
            <w:jc w:val="center"/>
            <w:rPr>
              <w:sz w:val="28"/>
              <w:szCs w:val="28"/>
            </w:rPr>
          </w:pPr>
          <w:r w:rsidRPr="00617B42">
            <w:rPr>
              <w:sz w:val="28"/>
              <w:szCs w:val="28"/>
            </w:rPr>
            <w:t>Study Programme Accreditation</w:t>
          </w:r>
        </w:p>
        <w:p w:rsidR="007A6AC5" w:rsidRPr="00617B42" w:rsidRDefault="00466E22" w:rsidP="003E5744">
          <w:pPr>
            <w:spacing w:after="0" w:line="240" w:lineRule="auto"/>
            <w:jc w:val="center"/>
          </w:pPr>
        </w:p>
        <w:p w:rsidR="007A6AC5" w:rsidRPr="00617B42" w:rsidRDefault="006D612A"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466E22"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6D612A"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466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DE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00D0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2368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4344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D612A"/>
    <w:rsid w:val="00031247"/>
    <w:rsid w:val="00201329"/>
    <w:rsid w:val="00466E22"/>
    <w:rsid w:val="00474BCC"/>
    <w:rsid w:val="006D612A"/>
    <w:rsid w:val="007E7597"/>
    <w:rsid w:val="00884F99"/>
    <w:rsid w:val="00945071"/>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2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6D612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612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D612A"/>
  </w:style>
  <w:style w:type="table" w:styleId="TableGrid">
    <w:name w:val="Table Grid"/>
    <w:basedOn w:val="TableNormal"/>
    <w:uiPriority w:val="59"/>
    <w:rsid w:val="006D612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12A"/>
    <w:pPr>
      <w:ind w:left="720"/>
      <w:contextualSpacing/>
    </w:pPr>
  </w:style>
  <w:style w:type="paragraph" w:styleId="BalloonText">
    <w:name w:val="Balloon Text"/>
    <w:basedOn w:val="Normal"/>
    <w:link w:val="BalloonTextChar"/>
    <w:uiPriority w:val="99"/>
    <w:semiHidden/>
    <w:unhideWhenUsed/>
    <w:rsid w:val="006D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2015-01-21T12:26:00Z</dcterms:created>
  <dcterms:modified xsi:type="dcterms:W3CDTF">2015-01-21T17:33:00Z</dcterms:modified>
</cp:coreProperties>
</file>