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3"/>
        <w:gridCol w:w="1044"/>
        <w:gridCol w:w="663"/>
        <w:gridCol w:w="1175"/>
        <w:gridCol w:w="980"/>
        <w:gridCol w:w="314"/>
        <w:gridCol w:w="1189"/>
        <w:gridCol w:w="669"/>
        <w:gridCol w:w="1671"/>
        <w:gridCol w:w="1346"/>
        <w:gridCol w:w="25"/>
        <w:gridCol w:w="9"/>
      </w:tblGrid>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Name and last name:</w:t>
            </w:r>
          </w:p>
        </w:tc>
        <w:tc>
          <w:tcPr>
            <w:tcW w:w="5087" w:type="dxa"/>
            <w:gridSpan w:val="4"/>
          </w:tcPr>
          <w:p w:rsidR="00F814FA" w:rsidRPr="00F814FA" w:rsidRDefault="00F814FA" w:rsidP="00F814FA">
            <w:pPr>
              <w:spacing w:after="0"/>
              <w:jc w:val="left"/>
              <w:rPr>
                <w:rFonts w:ascii="Arial" w:eastAsia="Calibri" w:hAnsi="Arial" w:cs="Arial"/>
                <w:b/>
                <w:sz w:val="16"/>
                <w:szCs w:val="16"/>
              </w:rPr>
            </w:pPr>
            <w:r w:rsidRPr="00F814FA">
              <w:rPr>
                <w:rFonts w:ascii="Arial" w:eastAsia="Calibri" w:hAnsi="Arial" w:cs="Arial"/>
                <w:b/>
                <w:sz w:val="16"/>
                <w:szCs w:val="16"/>
              </w:rPr>
              <w:t>Nebojsa Dedovic</w:t>
            </w:r>
          </w:p>
        </w:tc>
      </w:tr>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Academic title:</w:t>
            </w:r>
          </w:p>
        </w:tc>
        <w:tc>
          <w:tcPr>
            <w:tcW w:w="5087"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Assistant Professor</w:t>
            </w:r>
          </w:p>
        </w:tc>
      </w:tr>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Name of the institution where the teacher works full time and starting date:</w:t>
            </w:r>
          </w:p>
        </w:tc>
        <w:tc>
          <w:tcPr>
            <w:tcW w:w="5087" w:type="dxa"/>
            <w:gridSpan w:val="4"/>
          </w:tcPr>
          <w:p w:rsidR="00F814FA" w:rsidRPr="00F814FA" w:rsidRDefault="00F814FA" w:rsidP="00F814FA">
            <w:pPr>
              <w:spacing w:after="0"/>
              <w:jc w:val="left"/>
              <w:rPr>
                <w:rFonts w:ascii="Arial" w:eastAsia="Calibri" w:hAnsi="Arial" w:cs="Arial"/>
                <w:color w:val="000000"/>
                <w:sz w:val="20"/>
                <w:szCs w:val="20"/>
                <w:lang w:val="sr-Cyrl-CS"/>
              </w:rPr>
            </w:pPr>
            <w:r w:rsidRPr="00F814FA">
              <w:rPr>
                <w:rFonts w:ascii="Arial" w:eastAsia="Calibri" w:hAnsi="Arial" w:cs="Arial"/>
                <w:color w:val="000000"/>
                <w:sz w:val="16"/>
                <w:szCs w:val="16"/>
              </w:rPr>
              <w:t>University of Novi Sad, Faculty of Agriculture, Department for Agricultural Engineering, November 10, 1997.</w:t>
            </w:r>
          </w:p>
        </w:tc>
      </w:tr>
      <w:tr w:rsidR="00F814FA" w:rsidRPr="00F814FA" w:rsidTr="003E5744">
        <w:trPr>
          <w:gridAfter w:val="2"/>
          <w:wAfter w:w="35" w:type="dxa"/>
        </w:trPr>
        <w:tc>
          <w:tcPr>
            <w:tcW w:w="4893" w:type="dxa"/>
            <w:gridSpan w:val="7"/>
            <w:tcBorders>
              <w:bottom w:val="single" w:sz="4" w:space="0" w:color="auto"/>
            </w:tcBorders>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Scientific or art field:</w:t>
            </w:r>
          </w:p>
        </w:tc>
        <w:tc>
          <w:tcPr>
            <w:tcW w:w="5087" w:type="dxa"/>
            <w:gridSpan w:val="4"/>
            <w:tcBorders>
              <w:bottom w:val="single" w:sz="4" w:space="0" w:color="auto"/>
            </w:tcBorders>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Mathematics, Analysis</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Academic carieer</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6"/>
                <w:szCs w:val="16"/>
                <w:lang w:val="sr-Cyrl-CS"/>
              </w:rPr>
            </w:pPr>
          </w:p>
        </w:tc>
        <w:tc>
          <w:tcPr>
            <w:tcW w:w="1221" w:type="dxa"/>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Year</w:t>
            </w:r>
          </w:p>
        </w:tc>
        <w:tc>
          <w:tcPr>
            <w:tcW w:w="3291"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Institution</w:t>
            </w:r>
          </w:p>
        </w:tc>
        <w:tc>
          <w:tcPr>
            <w:tcW w:w="3184"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Field</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Academic title election:</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2014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Agriculture</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PhD thesis:</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2014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 Analysis</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Specialization:</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Magister thesis</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2004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 Numerical mathematics</w:t>
            </w:r>
          </w:p>
        </w:tc>
      </w:tr>
      <w:tr w:rsidR="00F814FA" w:rsidRPr="00F814FA" w:rsidTr="003E5744">
        <w:tc>
          <w:tcPr>
            <w:tcW w:w="231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Bachelor's thesis</w:t>
            </w:r>
          </w:p>
        </w:tc>
        <w:tc>
          <w:tcPr>
            <w:tcW w:w="1221" w:type="dxa"/>
            <w:tcBorders>
              <w:bottom w:val="single" w:sz="4" w:space="0" w:color="auto"/>
            </w:tcBorders>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1996</w:t>
            </w:r>
          </w:p>
        </w:tc>
        <w:tc>
          <w:tcPr>
            <w:tcW w:w="3291"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tcBorders>
              <w:bottom w:val="single" w:sz="4" w:space="0" w:color="auto"/>
            </w:tcBorders>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w:t>
            </w:r>
          </w:p>
        </w:tc>
      </w:tr>
      <w:tr w:rsidR="00F814FA" w:rsidRPr="00F814FA" w:rsidTr="003E5744">
        <w:tc>
          <w:tcPr>
            <w:tcW w:w="10015" w:type="dxa"/>
            <w:gridSpan w:val="13"/>
            <w:shd w:val="clear" w:color="auto" w:fill="A8D08D"/>
            <w:vAlign w:val="center"/>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List of courses being held by the teacher in the accredited study programmes</w:t>
            </w:r>
          </w:p>
        </w:tc>
      </w:tr>
      <w:tr w:rsidR="00F814FA" w:rsidRPr="00F814FA" w:rsidTr="003E5744">
        <w:tc>
          <w:tcPr>
            <w:tcW w:w="540" w:type="dxa"/>
            <w:gridSpan w:val="2"/>
            <w:shd w:val="clear" w:color="auto" w:fill="A8D08D"/>
            <w:vAlign w:val="center"/>
          </w:tcPr>
          <w:p w:rsidR="00F814FA" w:rsidRPr="00F814FA" w:rsidRDefault="00F814FA" w:rsidP="00F814FA">
            <w:pPr>
              <w:spacing w:after="0"/>
              <w:jc w:val="left"/>
              <w:rPr>
                <w:rFonts w:ascii="Arial" w:eastAsia="Calibri" w:hAnsi="Arial" w:cs="Arial"/>
                <w:sz w:val="16"/>
                <w:szCs w:val="16"/>
                <w:lang w:val="sr-Cyrl-CS"/>
              </w:rPr>
            </w:pPr>
          </w:p>
        </w:tc>
        <w:tc>
          <w:tcPr>
            <w:tcW w:w="1084" w:type="dxa"/>
            <w:shd w:val="clear" w:color="auto" w:fill="A8D08D"/>
            <w:vAlign w:val="center"/>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ID</w:t>
            </w:r>
          </w:p>
        </w:tc>
        <w:tc>
          <w:tcPr>
            <w:tcW w:w="3269" w:type="dxa"/>
            <w:gridSpan w:val="4"/>
            <w:shd w:val="clear" w:color="auto" w:fill="A8D08D"/>
            <w:vAlign w:val="center"/>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Course name</w:t>
            </w:r>
          </w:p>
        </w:tc>
        <w:tc>
          <w:tcPr>
            <w:tcW w:w="3685" w:type="dxa"/>
            <w:gridSpan w:val="3"/>
            <w:shd w:val="clear" w:color="auto" w:fill="A8D08D"/>
            <w:vAlign w:val="center"/>
          </w:tcPr>
          <w:p w:rsidR="00F814FA" w:rsidRPr="00F814FA" w:rsidRDefault="00F814FA" w:rsidP="00F814FA">
            <w:pPr>
              <w:spacing w:after="0"/>
              <w:ind w:right="-138"/>
              <w:jc w:val="left"/>
              <w:rPr>
                <w:rFonts w:ascii="Arial" w:eastAsia="Calibri" w:hAnsi="Arial" w:cs="Arial"/>
                <w:sz w:val="16"/>
                <w:szCs w:val="16"/>
              </w:rPr>
            </w:pPr>
            <w:r w:rsidRPr="00F814FA">
              <w:rPr>
                <w:rFonts w:ascii="Arial" w:eastAsia="Calibri" w:hAnsi="Arial" w:cs="Arial"/>
                <w:sz w:val="16"/>
                <w:szCs w:val="16"/>
              </w:rPr>
              <w:t>Study programme name, study type</w:t>
            </w:r>
          </w:p>
          <w:p w:rsidR="00F814FA" w:rsidRPr="00F814FA" w:rsidRDefault="00F814FA" w:rsidP="00F814FA">
            <w:pPr>
              <w:spacing w:after="0"/>
              <w:ind w:right="-138"/>
              <w:jc w:val="left"/>
              <w:rPr>
                <w:rFonts w:ascii="Arial" w:eastAsia="Calibri" w:hAnsi="Arial" w:cs="Arial"/>
                <w:sz w:val="16"/>
                <w:szCs w:val="16"/>
              </w:rPr>
            </w:pPr>
            <w:r w:rsidRPr="00F814FA">
              <w:rPr>
                <w:rFonts w:ascii="Arial" w:eastAsia="Calibri" w:hAnsi="Arial" w:cs="Arial"/>
                <w:sz w:val="16"/>
                <w:szCs w:val="16"/>
              </w:rPr>
              <w:t>ms - mandantory subject, es – elective subject</w:t>
            </w:r>
          </w:p>
        </w:tc>
        <w:tc>
          <w:tcPr>
            <w:tcW w:w="1437" w:type="dxa"/>
            <w:gridSpan w:val="3"/>
            <w:shd w:val="clear" w:color="auto" w:fill="A8D08D"/>
            <w:vAlign w:val="center"/>
          </w:tcPr>
          <w:p w:rsidR="00F814FA" w:rsidRPr="00F814FA" w:rsidRDefault="00F814FA" w:rsidP="00F814FA">
            <w:pPr>
              <w:spacing w:after="0"/>
              <w:ind w:right="-109"/>
              <w:jc w:val="left"/>
              <w:rPr>
                <w:rFonts w:ascii="Arial" w:eastAsia="Calibri" w:hAnsi="Arial" w:cs="Arial"/>
                <w:sz w:val="16"/>
                <w:szCs w:val="16"/>
              </w:rPr>
            </w:pPr>
            <w:r w:rsidRPr="00F814FA">
              <w:rPr>
                <w:rFonts w:ascii="Arial" w:eastAsia="Calibri" w:hAnsi="Arial" w:cs="Arial"/>
                <w:sz w:val="16"/>
                <w:szCs w:val="16"/>
              </w:rPr>
              <w:t>Number of active teaching classes</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3ОАИ1О01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Agroindustrial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2.</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3ОАИ2О06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Agroindustrial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3.</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3ОУВ1О01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1</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Water Management and Water Use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4.</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3ОУВ2О06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Water Management and Water Use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5.</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3OPT1O01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Agricultural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6.</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3OPT2I38</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Agricultural Engineering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7.</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3OСT1O05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Animal Husbandry-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8.</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3ОВВ1И35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Fruit Growing and Viticulture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9.</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3ОВВ1И36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Fruit Growing and Viticulture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10.</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3ОФМ1И39</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Phytomedicine–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3ОФМ1И40</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Phytomedicine–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12.</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3ОАГ1И39</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Plant and Environment Protection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13.</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3ОАГ1И40</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Plant and Environment Protection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14.</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3OOП1И46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Organic Agriculture–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15.</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3OOП1И46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Organic Agriculture–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16.</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3ОХК1И37</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Horticlture–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17.</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3ОХК1И38</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Horticlture–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18.</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3OРT1И01</w:t>
            </w:r>
          </w:p>
        </w:tc>
        <w:tc>
          <w:tcPr>
            <w:tcW w:w="326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Field and Vegetable Crops - es</w:t>
            </w:r>
          </w:p>
        </w:tc>
        <w:tc>
          <w:tcPr>
            <w:tcW w:w="1437"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19.</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3OРT1И02</w:t>
            </w:r>
          </w:p>
        </w:tc>
        <w:tc>
          <w:tcPr>
            <w:tcW w:w="326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Field and Vegetable Crops - es</w:t>
            </w:r>
          </w:p>
        </w:tc>
        <w:tc>
          <w:tcPr>
            <w:tcW w:w="1437"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20.</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7OАГ1О05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Agricultural Economics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21.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7ОАТ1О05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Agrotourism and Rural Development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4"/>
                <w:szCs w:val="16"/>
              </w:rPr>
            </w:pPr>
            <w:r w:rsidRPr="00F814FA">
              <w:rPr>
                <w:rFonts w:ascii="Arial" w:eastAsia="Calibri" w:hAnsi="Arial" w:cs="Arial"/>
                <w:bCs/>
                <w:sz w:val="14"/>
                <w:szCs w:val="16"/>
              </w:rPr>
              <w:t>Representative refferences (minimum 5, not more than 10)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N.Delta shock waves and wave-front tracking method (PhD thesis). University of Novi Sad, Faculty of Sciences, 2014.</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Nedeljkov M. Delta shocks interactions and wave front tracking method, Journal of Mathematical Analysis and Applications, 403 (2013), 580–598.</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Matić-Kekić S, Ponjičan O, Karadžić B. New approach to border line evaluations for whole sample of Williams pear (Pyrus communis), Computers and Electronics in Agriculture, 79 (2011), 94–101.</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Babić Lj, Matić-Kekić S, Dedović N, Babić M, Pavkov I. Surface area and volume modeling of the Williams pear (Pyrus Communis). International Journal of Food Properties, 15(4) (2012), 880–890.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Krajinović M, Matić-Kekić S, Dedović N, Pihler I, Simin V, Simikić M, Savin L. Reproduction and culling influence on the number of ewes and lambs in two types of breeding, African Journal of Agricultural Research 7(24) (2012), 3506- 3512.</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Igić S, Janić T, Matić-Kekić S, Ponjičan O, Tomić M, Savin L. Biomass boiler efficiency - mathematical modeling, Energies 5(5) (2012), 1470-1489.</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6"/>
                <w:szCs w:val="16"/>
                <w:lang w:val="sr-Cyrl-CS"/>
              </w:rPr>
            </w:pPr>
            <w:r w:rsidRPr="00F814FA">
              <w:rPr>
                <w:rFonts w:ascii="Arial" w:eastAsia="Calibri" w:hAnsi="Arial" w:cs="Arial"/>
                <w:bCs/>
                <w:sz w:val="16"/>
                <w:szCs w:val="16"/>
              </w:rPr>
              <w:t>Summary data for the teacher's scientific or art and professional activity:</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lang w:val="sr-Latn-CS"/>
              </w:rPr>
            </w:pPr>
            <w:r w:rsidRPr="00F814FA">
              <w:rPr>
                <w:rFonts w:ascii="Arial" w:eastAsia="Calibri" w:hAnsi="Arial" w:cs="Arial"/>
                <w:sz w:val="16"/>
                <w:szCs w:val="16"/>
              </w:rPr>
              <w:t>Quotation total:</w:t>
            </w:r>
          </w:p>
        </w:tc>
        <w:tc>
          <w:tcPr>
            <w:tcW w:w="5449" w:type="dxa"/>
            <w:gridSpan w:val="7"/>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Total ofSCI</w:t>
            </w:r>
            <w:r w:rsidRPr="00F814FA">
              <w:rPr>
                <w:rFonts w:ascii="Arial" w:eastAsia="Calibri" w:hAnsi="Arial" w:cs="Arial"/>
                <w:sz w:val="16"/>
                <w:szCs w:val="16"/>
                <w:lang w:val="sr-Cyrl-CS"/>
              </w:rPr>
              <w:t xml:space="preserve"> (</w:t>
            </w:r>
            <w:r w:rsidRPr="00F814FA">
              <w:rPr>
                <w:rFonts w:ascii="Arial" w:eastAsia="Calibri" w:hAnsi="Arial" w:cs="Arial"/>
                <w:sz w:val="16"/>
                <w:szCs w:val="16"/>
              </w:rPr>
              <w:t>SSCI</w:t>
            </w:r>
            <w:r w:rsidRPr="00F814FA">
              <w:rPr>
                <w:rFonts w:ascii="Arial" w:eastAsia="Calibri" w:hAnsi="Arial" w:cs="Arial"/>
                <w:sz w:val="16"/>
                <w:szCs w:val="16"/>
                <w:lang w:val="sr-Cyrl-CS"/>
              </w:rPr>
              <w:t>)</w:t>
            </w:r>
            <w:r w:rsidRPr="00F814FA">
              <w:rPr>
                <w:rFonts w:ascii="Arial" w:eastAsia="Calibri" w:hAnsi="Arial" w:cs="Arial"/>
                <w:sz w:val="16"/>
                <w:szCs w:val="16"/>
              </w:rPr>
              <w:t xml:space="preserve"> list papers:</w:t>
            </w:r>
          </w:p>
        </w:tc>
        <w:tc>
          <w:tcPr>
            <w:tcW w:w="5449" w:type="dxa"/>
            <w:gridSpan w:val="7"/>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9 (nine)</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lang w:val="sr-Cyrl-CS"/>
              </w:rPr>
            </w:pPr>
            <w:r w:rsidRPr="00F814FA">
              <w:rPr>
                <w:rFonts w:ascii="Arial" w:eastAsia="Calibri" w:hAnsi="Arial" w:cs="Arial"/>
                <w:sz w:val="16"/>
                <w:szCs w:val="16"/>
              </w:rPr>
              <w:t>Current projects:</w:t>
            </w:r>
          </w:p>
        </w:tc>
        <w:tc>
          <w:tcPr>
            <w:tcW w:w="1566" w:type="dxa"/>
            <w:gridSpan w:val="2"/>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Domestic: 2</w:t>
            </w:r>
          </w:p>
        </w:tc>
        <w:tc>
          <w:tcPr>
            <w:tcW w:w="3883" w:type="dxa"/>
            <w:gridSpan w:val="5"/>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International: -</w:t>
            </w:r>
          </w:p>
        </w:tc>
      </w:tr>
      <w:tr w:rsidR="00F814FA" w:rsidRPr="00F814FA" w:rsidTr="003E5744">
        <w:trPr>
          <w:gridAfter w:val="1"/>
          <w:wAfter w:w="9" w:type="dxa"/>
        </w:trPr>
        <w:tc>
          <w:tcPr>
            <w:tcW w:w="1624" w:type="dxa"/>
            <w:gridSpan w:val="3"/>
            <w:vAlign w:val="center"/>
          </w:tcPr>
          <w:p w:rsidR="00F814FA" w:rsidRPr="00F814FA" w:rsidRDefault="00F814FA" w:rsidP="00F814FA">
            <w:pPr>
              <w:spacing w:after="0"/>
              <w:ind w:right="-90"/>
              <w:jc w:val="left"/>
              <w:rPr>
                <w:rFonts w:ascii="Arial" w:eastAsia="Calibri" w:hAnsi="Arial" w:cs="Arial"/>
                <w:sz w:val="16"/>
                <w:szCs w:val="16"/>
                <w:lang w:val="sr-Cyrl-CS"/>
              </w:rPr>
            </w:pPr>
            <w:r w:rsidRPr="00F814FA">
              <w:rPr>
                <w:rFonts w:ascii="Arial" w:eastAsia="Calibri" w:hAnsi="Arial" w:cs="Arial"/>
                <w:sz w:val="16"/>
                <w:szCs w:val="16"/>
              </w:rPr>
              <w:t>Specialization</w:t>
            </w:r>
          </w:p>
        </w:tc>
        <w:tc>
          <w:tcPr>
            <w:tcW w:w="8382" w:type="dxa"/>
            <w:gridSpan w:val="9"/>
          </w:tcPr>
          <w:p w:rsidR="00F814FA" w:rsidRPr="00F814FA" w:rsidRDefault="00F814FA" w:rsidP="00F814FA">
            <w:pPr>
              <w:spacing w:after="0"/>
              <w:ind w:left="-108" w:right="-109"/>
              <w:jc w:val="both"/>
              <w:rPr>
                <w:rFonts w:ascii="Arial" w:eastAsia="Calibri" w:hAnsi="Arial" w:cs="Arial"/>
                <w:color w:val="000000"/>
                <w:sz w:val="16"/>
                <w:szCs w:val="16"/>
              </w:rPr>
            </w:pPr>
            <w:r w:rsidRPr="00F814FA">
              <w:rPr>
                <w:rFonts w:ascii="Arial" w:eastAsia="Calibri" w:hAnsi="Arial" w:cs="Arial"/>
                <w:color w:val="000000"/>
                <w:sz w:val="16"/>
                <w:szCs w:val="16"/>
              </w:rPr>
              <w:t xml:space="preserve"> -</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31" w:rsidRDefault="00D16931" w:rsidP="00774EE8">
      <w:pPr>
        <w:spacing w:after="0"/>
      </w:pPr>
      <w:r>
        <w:separator/>
      </w:r>
    </w:p>
  </w:endnote>
  <w:endnote w:type="continuationSeparator" w:id="1">
    <w:p w:rsidR="00D16931" w:rsidRDefault="00D16931" w:rsidP="00774E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31" w:rsidRDefault="00D16931" w:rsidP="00774EE8">
      <w:pPr>
        <w:spacing w:after="0"/>
      </w:pPr>
      <w:r>
        <w:separator/>
      </w:r>
    </w:p>
  </w:footnote>
  <w:footnote w:type="continuationSeparator" w:id="1">
    <w:p w:rsidR="00D16931" w:rsidRDefault="00D16931" w:rsidP="00774E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D16931"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D16931"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D16931"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D16931" w:rsidP="00424DC2">
          <w:pPr>
            <w:spacing w:after="0"/>
            <w:jc w:val="center"/>
            <w:rPr>
              <w:rFonts w:ascii="Arial" w:eastAsia="Times New Roman" w:hAnsi="Arial" w:cs="Arial"/>
              <w:sz w:val="16"/>
              <w:szCs w:val="16"/>
              <w:lang w:val="en-GB"/>
            </w:rPr>
          </w:pPr>
        </w:p>
      </w:tc>
      <w:tc>
        <w:tcPr>
          <w:tcW w:w="658" w:type="pct"/>
          <w:vMerge/>
        </w:tcPr>
        <w:p w:rsidR="00424DC2" w:rsidRPr="00424DC2" w:rsidRDefault="00D16931"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D16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71FF"/>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4BCC"/>
    <w:rsid w:val="00774EE8"/>
    <w:rsid w:val="007A479D"/>
    <w:rsid w:val="007E7597"/>
    <w:rsid w:val="00884F99"/>
    <w:rsid w:val="00C25483"/>
    <w:rsid w:val="00D16931"/>
    <w:rsid w:val="00D65D93"/>
    <w:rsid w:val="00D7497A"/>
    <w:rsid w:val="00F8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2015-01-21T17:32:00Z</dcterms:modified>
</cp:coreProperties>
</file>