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701"/>
        <w:gridCol w:w="851"/>
        <w:gridCol w:w="992"/>
        <w:gridCol w:w="142"/>
        <w:gridCol w:w="142"/>
        <w:gridCol w:w="1150"/>
        <w:gridCol w:w="409"/>
        <w:gridCol w:w="725"/>
        <w:gridCol w:w="409"/>
        <w:gridCol w:w="725"/>
      </w:tblGrid>
      <w:tr w:rsidR="001B7BC2" w:rsidRPr="00967EC1" w:rsidTr="00280DB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>Monitoring and control of infection</w:t>
            </w:r>
            <w:r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 xml:space="preserve">s with the purpose of enhancing </w:t>
            </w:r>
            <w:r w:rsidRPr="00967EC1"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>rural development</w:t>
            </w:r>
          </w:p>
        </w:tc>
      </w:tr>
      <w:tr w:rsidR="001B7BC2" w:rsidRPr="00967EC1" w:rsidTr="00280DBA">
        <w:tc>
          <w:tcPr>
            <w:tcW w:w="2092" w:type="dxa"/>
            <w:gridSpan w:val="2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 id: 2</w:t>
            </w:r>
            <w:r>
              <w:rPr>
                <w:rFonts w:cstheme="minorHAnsi"/>
                <w:sz w:val="16"/>
                <w:szCs w:val="16"/>
                <w:lang w:val="en-GB"/>
              </w:rPr>
              <w:t>MRR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33</w:t>
            </w:r>
          </w:p>
        </w:tc>
        <w:tc>
          <w:tcPr>
            <w:tcW w:w="7530" w:type="dxa"/>
            <w:gridSpan w:val="11"/>
            <w:vMerge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1B7BC2" w:rsidRPr="00967EC1" w:rsidTr="00280DBA">
        <w:tc>
          <w:tcPr>
            <w:tcW w:w="2092" w:type="dxa"/>
            <w:gridSpan w:val="2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Number of ECTS: 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7530" w:type="dxa"/>
            <w:gridSpan w:val="11"/>
            <w:vMerge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1B7BC2" w:rsidRPr="00967EC1" w:rsidTr="00280DBA">
        <w:tc>
          <w:tcPr>
            <w:tcW w:w="2092" w:type="dxa"/>
            <w:gridSpan w:val="2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11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67EC1">
              <w:rPr>
                <w:rFonts w:cstheme="minorHAnsi"/>
                <w:lang w:val="en-GB"/>
              </w:rPr>
              <w:t>Branislav Lako; Aleksandar Potkonjak</w:t>
            </w:r>
          </w:p>
        </w:tc>
      </w:tr>
      <w:tr w:rsidR="001B7BC2" w:rsidRPr="00967EC1" w:rsidTr="00280DB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Elective</w:t>
            </w:r>
          </w:p>
        </w:tc>
      </w:tr>
      <w:tr w:rsidR="001B7BC2" w:rsidRPr="00967EC1" w:rsidTr="00280DBA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1B7BC2" w:rsidRPr="00967EC1" w:rsidTr="00280DB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Lectures:2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Tutorials :2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Other classes:</w:t>
            </w:r>
          </w:p>
        </w:tc>
      </w:tr>
      <w:tr w:rsidR="001B7BC2" w:rsidRPr="00967EC1" w:rsidTr="00280DB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67EC1">
              <w:rPr>
                <w:rFonts w:cstheme="minorHAnsi"/>
                <w:sz w:val="20"/>
                <w:szCs w:val="20"/>
                <w:lang w:val="en-GB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Rural Econom</w:t>
            </w:r>
            <w:r>
              <w:rPr>
                <w:rFonts w:cstheme="minorHAnsi"/>
                <w:sz w:val="16"/>
                <w:szCs w:val="16"/>
                <w:lang w:val="en-GB"/>
              </w:rPr>
              <w:t>ics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, Rural Ecology</w:t>
            </w:r>
          </w:p>
        </w:tc>
      </w:tr>
      <w:tr w:rsidR="001B7BC2" w:rsidRPr="00967EC1" w:rsidTr="00280DBA">
        <w:tc>
          <w:tcPr>
            <w:tcW w:w="9622" w:type="dxa"/>
            <w:gridSpan w:val="13"/>
          </w:tcPr>
          <w:p w:rsidR="001B7BC2" w:rsidRPr="00967EC1" w:rsidRDefault="001B7BC2" w:rsidP="001B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Educational goal</w:t>
            </w:r>
          </w:p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Introducing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students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to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the </w:t>
            </w:r>
            <w:r>
              <w:rPr>
                <w:rFonts w:cstheme="minorHAnsi"/>
                <w:sz w:val="18"/>
                <w:szCs w:val="18"/>
                <w:lang w:val="en-GB"/>
              </w:rPr>
              <w:t>formation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, expansion and movement of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infections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and zoonoses in urban, suburban and rural areas. This applies particular</w:t>
            </w:r>
            <w:r>
              <w:rPr>
                <w:rFonts w:cstheme="minorHAnsi"/>
                <w:sz w:val="18"/>
                <w:szCs w:val="18"/>
                <w:lang w:val="en-GB"/>
              </w:rPr>
              <w:t>ly to studying consequences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, which can be caused by infectious animal diseases and zoonoses, and study</w:t>
            </w:r>
            <w:r>
              <w:rPr>
                <w:rFonts w:cstheme="minorHAnsi"/>
                <w:sz w:val="18"/>
                <w:szCs w:val="18"/>
                <w:lang w:val="en-GB"/>
              </w:rPr>
              <w:t>ingthe m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ethods of monitoring and control</w:t>
            </w:r>
            <w:r>
              <w:rPr>
                <w:rFonts w:cstheme="minorHAnsi"/>
                <w:sz w:val="18"/>
                <w:szCs w:val="18"/>
                <w:lang w:val="en-GB"/>
              </w:rPr>
              <w:t>ling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 of these diseases.</w:t>
            </w:r>
          </w:p>
        </w:tc>
      </w:tr>
      <w:tr w:rsidR="001B7BC2" w:rsidRPr="00967EC1" w:rsidTr="00280DBA">
        <w:tc>
          <w:tcPr>
            <w:tcW w:w="9622" w:type="dxa"/>
            <w:gridSpan w:val="13"/>
          </w:tcPr>
          <w:p w:rsidR="001B7BC2" w:rsidRPr="00967EC1" w:rsidRDefault="001B7BC2" w:rsidP="001B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Educational outcomes </w:t>
            </w:r>
          </w:p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Students are trained to anticipate, plan and control infection</w:t>
            </w:r>
            <w:r>
              <w:rPr>
                <w:rFonts w:cstheme="minorHAnsi"/>
                <w:sz w:val="18"/>
                <w:szCs w:val="18"/>
                <w:lang w:val="en-GB"/>
              </w:rPr>
              <w:t>swith the purpose of enhancing r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ural </w:t>
            </w:r>
            <w:r>
              <w:rPr>
                <w:rFonts w:cstheme="minorHAnsi"/>
                <w:sz w:val="18"/>
                <w:szCs w:val="18"/>
                <w:lang w:val="en-GB"/>
              </w:rPr>
              <w:t>d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evelopment, because the occurrence of these diseases through the history of human society has led to the emergence of fear and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a significant degree of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socio-economic collapse of society.</w:t>
            </w:r>
          </w:p>
        </w:tc>
      </w:tr>
      <w:tr w:rsidR="001B7BC2" w:rsidRPr="00967EC1" w:rsidTr="00280DBA">
        <w:tc>
          <w:tcPr>
            <w:tcW w:w="9622" w:type="dxa"/>
            <w:gridSpan w:val="13"/>
          </w:tcPr>
          <w:p w:rsidR="001B7BC2" w:rsidRPr="00967EC1" w:rsidRDefault="001B7BC2" w:rsidP="001B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Course content</w:t>
            </w:r>
          </w:p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i/>
                <w:sz w:val="18"/>
                <w:szCs w:val="18"/>
                <w:lang w:val="en-GB"/>
              </w:rPr>
              <w:t>Theoretical instruction</w:t>
            </w:r>
          </w:p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iCs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The history of development of human society and the emergence of infections in animals and humans. Classification of infections. The causes of the formation, expansion and movement of infection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s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Basic e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pidemiological and environmental facts. Zoonoses. The most important infections in animals and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zoonoses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in our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environment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. Socio-economic consequences of infections in animals and zoonoses.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R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isk analysis. Active and passive epidemiological surveillance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. Measures of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general prophylaxis. Measures of specific prophylaxis.</w:t>
            </w:r>
          </w:p>
        </w:tc>
      </w:tr>
      <w:tr w:rsidR="001B7BC2" w:rsidRPr="00967EC1" w:rsidTr="00280DBA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1B7BC2" w:rsidRPr="00967EC1" w:rsidRDefault="001B7BC2" w:rsidP="001B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Teaching methods</w:t>
            </w:r>
          </w:p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Lectures with </w:t>
            </w:r>
            <w:r>
              <w:rPr>
                <w:rFonts w:cstheme="minorHAnsi"/>
                <w:sz w:val="18"/>
                <w:szCs w:val="18"/>
                <w:lang w:val="en-GB"/>
              </w:rPr>
              <w:t>power-point presentations. S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eminar papers.</w:t>
            </w:r>
          </w:p>
        </w:tc>
      </w:tr>
      <w:tr w:rsidR="001B7BC2" w:rsidRPr="00967EC1" w:rsidTr="00280DBA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1B7BC2" w:rsidRPr="00967EC1" w:rsidTr="00280DBA">
        <w:trPr>
          <w:gridAfter w:val="4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Points</w:t>
            </w:r>
          </w:p>
        </w:tc>
      </w:tr>
      <w:tr w:rsidR="001B7BC2" w:rsidRPr="00967EC1" w:rsidTr="00280DBA">
        <w:trPr>
          <w:gridAfter w:val="4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 xml:space="preserve">Lectures </w:t>
            </w:r>
            <w:r>
              <w:rPr>
                <w:sz w:val="18"/>
                <w:szCs w:val="18"/>
                <w:lang w:val="en-GB"/>
              </w:rPr>
              <w:t>and tutorials attendance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  <w:lang w:val="en-GB"/>
              </w:rPr>
            </w:pPr>
            <w:r w:rsidRPr="00967EC1">
              <w:rPr>
                <w:rFonts w:cstheme="minorHAnsi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30</w:t>
            </w:r>
          </w:p>
        </w:tc>
      </w:tr>
      <w:tr w:rsidR="001B7BC2" w:rsidRPr="00967EC1" w:rsidTr="00280DBA">
        <w:trPr>
          <w:gridAfter w:val="2"/>
          <w:wAfter w:w="1134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Seminar paper/term paper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50</w:t>
            </w:r>
          </w:p>
        </w:tc>
        <w:tc>
          <w:tcPr>
            <w:tcW w:w="3560" w:type="dxa"/>
            <w:gridSpan w:val="6"/>
            <w:shd w:val="clear" w:color="auto" w:fill="auto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1B7BC2" w:rsidRPr="00967EC1" w:rsidTr="00280DBA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1B7BC2" w:rsidRPr="00967EC1" w:rsidTr="00280DBA">
        <w:tc>
          <w:tcPr>
            <w:tcW w:w="675" w:type="dxa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3686" w:type="dxa"/>
            <w:gridSpan w:val="4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2835" w:type="dxa"/>
            <w:gridSpan w:val="5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725" w:type="dxa"/>
            <w:vAlign w:val="center"/>
          </w:tcPr>
          <w:p w:rsidR="001B7BC2" w:rsidRPr="00967EC1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Year</w:t>
            </w:r>
          </w:p>
        </w:tc>
      </w:tr>
      <w:tr w:rsidR="001B7BC2" w:rsidRPr="00967EC1" w:rsidTr="00280DBA">
        <w:tc>
          <w:tcPr>
            <w:tcW w:w="675" w:type="dxa"/>
            <w:vAlign w:val="center"/>
          </w:tcPr>
          <w:p w:rsidR="001B7BC2" w:rsidRPr="00F60D16" w:rsidRDefault="001B7BC2" w:rsidP="001B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Thrusfield, M</w:t>
            </w:r>
          </w:p>
        </w:tc>
        <w:tc>
          <w:tcPr>
            <w:tcW w:w="3686" w:type="dxa"/>
            <w:gridSpan w:val="4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Veterinary epidemiology. 4 ed.,.</w:t>
            </w:r>
          </w:p>
        </w:tc>
        <w:tc>
          <w:tcPr>
            <w:tcW w:w="2835" w:type="dxa"/>
            <w:gridSpan w:val="5"/>
            <w:vAlign w:val="center"/>
          </w:tcPr>
          <w:p w:rsidR="001B7BC2" w:rsidRPr="00F60D16" w:rsidRDefault="001B7BC2" w:rsidP="001B7BC2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Blackwell Science, Oxford, England,</w:t>
            </w:r>
          </w:p>
        </w:tc>
        <w:tc>
          <w:tcPr>
            <w:tcW w:w="725" w:type="dxa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2007</w:t>
            </w:r>
          </w:p>
        </w:tc>
      </w:tr>
      <w:tr w:rsidR="001B7BC2" w:rsidRPr="00967EC1" w:rsidTr="00280DBA">
        <w:trPr>
          <w:trHeight w:val="780"/>
        </w:trPr>
        <w:tc>
          <w:tcPr>
            <w:tcW w:w="675" w:type="dxa"/>
            <w:vAlign w:val="center"/>
          </w:tcPr>
          <w:p w:rsidR="001B7BC2" w:rsidRPr="00F60D16" w:rsidRDefault="001B7BC2" w:rsidP="001B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color w:val="000000"/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Miroslav Valčić</w:t>
            </w:r>
          </w:p>
        </w:tc>
        <w:tc>
          <w:tcPr>
            <w:tcW w:w="3686" w:type="dxa"/>
            <w:gridSpan w:val="4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Opšta epizootiologija</w:t>
            </w:r>
          </w:p>
        </w:tc>
        <w:tc>
          <w:tcPr>
            <w:tcW w:w="2835" w:type="dxa"/>
            <w:gridSpan w:val="5"/>
            <w:vAlign w:val="center"/>
          </w:tcPr>
          <w:p w:rsidR="001B7BC2" w:rsidRPr="00F60D16" w:rsidRDefault="001B7BC2" w:rsidP="001B7BC2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4"/>
                <w:lang w:val="en-GB"/>
              </w:rPr>
            </w:pPr>
          </w:p>
        </w:tc>
        <w:tc>
          <w:tcPr>
            <w:tcW w:w="725" w:type="dxa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  <w:r w:rsidRPr="00F60D16">
              <w:rPr>
                <w:rFonts w:cstheme="minorHAnsi"/>
                <w:sz w:val="16"/>
                <w:szCs w:val="14"/>
                <w:lang w:val="en-GB"/>
              </w:rPr>
              <w:t>1998</w:t>
            </w:r>
          </w:p>
        </w:tc>
      </w:tr>
      <w:tr w:rsidR="001B7BC2" w:rsidRPr="00967EC1" w:rsidTr="00280DBA">
        <w:trPr>
          <w:trHeight w:val="780"/>
        </w:trPr>
        <w:tc>
          <w:tcPr>
            <w:tcW w:w="675" w:type="dxa"/>
            <w:vAlign w:val="center"/>
          </w:tcPr>
          <w:p w:rsidR="001B7BC2" w:rsidRPr="00F60D16" w:rsidRDefault="001B7BC2" w:rsidP="001B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Miroslav Valčić</w:t>
            </w:r>
          </w:p>
        </w:tc>
        <w:tc>
          <w:tcPr>
            <w:tcW w:w="3686" w:type="dxa"/>
            <w:gridSpan w:val="4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Specijalna epizootiologija – I,</w:t>
            </w:r>
          </w:p>
        </w:tc>
        <w:tc>
          <w:tcPr>
            <w:tcW w:w="2835" w:type="dxa"/>
            <w:gridSpan w:val="5"/>
            <w:vAlign w:val="center"/>
          </w:tcPr>
          <w:p w:rsidR="001B7BC2" w:rsidRPr="00F60D16" w:rsidRDefault="001B7BC2" w:rsidP="001B7BC2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Veterinarska komora Srbije, Beograd</w:t>
            </w:r>
          </w:p>
        </w:tc>
        <w:tc>
          <w:tcPr>
            <w:tcW w:w="725" w:type="dxa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2004</w:t>
            </w:r>
          </w:p>
        </w:tc>
      </w:tr>
      <w:tr w:rsidR="001B7BC2" w:rsidRPr="00967EC1" w:rsidTr="00280DBA">
        <w:trPr>
          <w:trHeight w:val="780"/>
        </w:trPr>
        <w:tc>
          <w:tcPr>
            <w:tcW w:w="675" w:type="dxa"/>
            <w:vAlign w:val="center"/>
          </w:tcPr>
          <w:p w:rsidR="001B7BC2" w:rsidRPr="00F60D16" w:rsidRDefault="001B7BC2" w:rsidP="001B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sz w:val="16"/>
                <w:szCs w:val="14"/>
                <w:lang w:val="en-GB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OIE Manual of Diagnostic Tests and Vaccines for Terrestrial Animals 6th Edition,</w:t>
            </w:r>
          </w:p>
        </w:tc>
        <w:tc>
          <w:tcPr>
            <w:tcW w:w="2835" w:type="dxa"/>
            <w:gridSpan w:val="5"/>
            <w:vAlign w:val="center"/>
          </w:tcPr>
          <w:p w:rsidR="001B7BC2" w:rsidRPr="00F60D16" w:rsidRDefault="001B7BC2" w:rsidP="001B7BC2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Volumes 1 and 2</w:t>
            </w:r>
          </w:p>
        </w:tc>
        <w:tc>
          <w:tcPr>
            <w:tcW w:w="725" w:type="dxa"/>
            <w:vAlign w:val="center"/>
          </w:tcPr>
          <w:p w:rsidR="001B7BC2" w:rsidRPr="00F60D16" w:rsidRDefault="001B7BC2" w:rsidP="001B7BC2">
            <w:pPr>
              <w:spacing w:after="0" w:line="240" w:lineRule="auto"/>
              <w:jc w:val="center"/>
              <w:rPr>
                <w:rFonts w:cstheme="minorHAnsi"/>
                <w:sz w:val="16"/>
                <w:szCs w:val="14"/>
                <w:lang w:val="en-GB"/>
              </w:rPr>
            </w:pPr>
            <w:r w:rsidRPr="00F60D16">
              <w:rPr>
                <w:sz w:val="16"/>
                <w:szCs w:val="14"/>
                <w:lang w:val="en-GB"/>
              </w:rPr>
              <w:t>2008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3C" w:rsidRDefault="000D053C" w:rsidP="00121F00">
      <w:pPr>
        <w:spacing w:after="0"/>
      </w:pPr>
      <w:r>
        <w:separator/>
      </w:r>
    </w:p>
  </w:endnote>
  <w:endnote w:type="continuationSeparator" w:id="1">
    <w:p w:rsidR="000D053C" w:rsidRDefault="000D053C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3C" w:rsidRDefault="000D053C" w:rsidP="00121F00">
      <w:pPr>
        <w:spacing w:after="0"/>
      </w:pPr>
      <w:r>
        <w:separator/>
      </w:r>
    </w:p>
  </w:footnote>
  <w:footnote w:type="continuationSeparator" w:id="1">
    <w:p w:rsidR="000D053C" w:rsidRDefault="000D053C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1B7BC2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1B7BC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1B7BC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1B7BC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1B7BC2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1B7BC2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1B7BC2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1B7BC2">
          <w:pPr>
            <w:spacing w:after="0" w:line="240" w:lineRule="auto"/>
            <w:jc w:val="center"/>
          </w:pPr>
        </w:p>
        <w:p w:rsidR="00121F00" w:rsidRPr="00121F00" w:rsidRDefault="00121F00" w:rsidP="001B7BC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1B7BC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1B7BC2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1B7BC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06A7"/>
    <w:multiLevelType w:val="hybridMultilevel"/>
    <w:tmpl w:val="F5102C96"/>
    <w:lvl w:ilvl="0" w:tplc="1388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3D2D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0D053C"/>
    <w:rsid w:val="00121F00"/>
    <w:rsid w:val="001B7BC2"/>
    <w:rsid w:val="00474BCC"/>
    <w:rsid w:val="007E7597"/>
    <w:rsid w:val="00884F99"/>
    <w:rsid w:val="00960EC8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C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2015-01-21T18:09:00Z</dcterms:created>
  <dcterms:modified xsi:type="dcterms:W3CDTF">2015-01-22T14:27:00Z</dcterms:modified>
</cp:coreProperties>
</file>