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0"/>
        <w:gridCol w:w="1412"/>
        <w:gridCol w:w="282"/>
        <w:gridCol w:w="1133"/>
        <w:gridCol w:w="562"/>
        <w:gridCol w:w="732"/>
        <w:gridCol w:w="1102"/>
        <w:gridCol w:w="1411"/>
        <w:gridCol w:w="425"/>
        <w:gridCol w:w="707"/>
        <w:gridCol w:w="1146"/>
      </w:tblGrid>
      <w:tr w:rsidR="00F865CD" w:rsidTr="00F56900">
        <w:trPr>
          <w:trHeight w:val="420"/>
        </w:trPr>
        <w:tc>
          <w:tcPr>
            <w:tcW w:w="2122" w:type="dxa"/>
            <w:gridSpan w:val="2"/>
            <w:shd w:val="clear" w:color="auto" w:fill="C2D69B" w:themeFill="accent3" w:themeFillTint="99"/>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Course:</w:t>
            </w:r>
          </w:p>
        </w:tc>
        <w:tc>
          <w:tcPr>
            <w:tcW w:w="7500" w:type="dxa"/>
            <w:gridSpan w:val="9"/>
            <w:vMerge w:val="restart"/>
            <w:vAlign w:val="center"/>
          </w:tcPr>
          <w:p w:rsidR="00F865CD" w:rsidRPr="003735A1" w:rsidRDefault="00F865CD" w:rsidP="00F56900">
            <w:pPr>
              <w:jc w:val="center"/>
              <w:rPr>
                <w:rFonts w:ascii="Arial" w:hAnsi="Arial" w:cs="Arial"/>
                <w:sz w:val="18"/>
                <w:szCs w:val="18"/>
              </w:rPr>
            </w:pPr>
            <w:r w:rsidRPr="003735A1">
              <w:rPr>
                <w:rFonts w:ascii="Arial" w:eastAsia="Times New Roman" w:hAnsi="Arial" w:cs="Arial"/>
                <w:sz w:val="24"/>
                <w:szCs w:val="18"/>
                <w:lang w:val="en-GB"/>
              </w:rPr>
              <w:t>Microeconomics</w:t>
            </w:r>
          </w:p>
        </w:tc>
      </w:tr>
      <w:tr w:rsidR="00F865CD" w:rsidTr="00F56900">
        <w:tc>
          <w:tcPr>
            <w:tcW w:w="2122" w:type="dxa"/>
            <w:gridSpan w:val="2"/>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Course id:</w:t>
            </w:r>
            <w:r w:rsidRPr="003735A1">
              <w:rPr>
                <w:rFonts w:ascii="Arial" w:eastAsia="Times New Roman" w:hAnsi="Arial" w:cs="Arial"/>
                <w:sz w:val="16"/>
                <w:szCs w:val="16"/>
              </w:rPr>
              <w:t xml:space="preserve"> 7О</w:t>
            </w:r>
            <w:r w:rsidRPr="003735A1">
              <w:rPr>
                <w:rFonts w:ascii="Arial" w:eastAsia="Times New Roman" w:hAnsi="Arial" w:cs="Arial"/>
                <w:sz w:val="16"/>
                <w:szCs w:val="16"/>
                <w:lang w:val="sr-Cyrl-CS"/>
              </w:rPr>
              <w:t>АТ1О04</w:t>
            </w:r>
          </w:p>
        </w:tc>
        <w:tc>
          <w:tcPr>
            <w:tcW w:w="7500" w:type="dxa"/>
            <w:gridSpan w:val="9"/>
            <w:vMerge/>
          </w:tcPr>
          <w:p w:rsidR="00F865CD" w:rsidRPr="003735A1" w:rsidRDefault="00F865CD" w:rsidP="00F56900">
            <w:pPr>
              <w:rPr>
                <w:rFonts w:ascii="Arial" w:hAnsi="Arial" w:cs="Arial"/>
              </w:rPr>
            </w:pPr>
          </w:p>
        </w:tc>
      </w:tr>
      <w:tr w:rsidR="00F865CD" w:rsidTr="00F56900">
        <w:tc>
          <w:tcPr>
            <w:tcW w:w="2122" w:type="dxa"/>
            <w:gridSpan w:val="2"/>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Number of ECTS: 6</w:t>
            </w:r>
          </w:p>
        </w:tc>
        <w:tc>
          <w:tcPr>
            <w:tcW w:w="7500" w:type="dxa"/>
            <w:gridSpan w:val="9"/>
            <w:vMerge/>
          </w:tcPr>
          <w:p w:rsidR="00F865CD" w:rsidRPr="003735A1" w:rsidRDefault="00F865CD" w:rsidP="00F56900">
            <w:pPr>
              <w:rPr>
                <w:rFonts w:ascii="Arial" w:hAnsi="Arial" w:cs="Arial"/>
              </w:rPr>
            </w:pPr>
          </w:p>
        </w:tc>
      </w:tr>
      <w:tr w:rsidR="00F865CD" w:rsidTr="00F56900">
        <w:trPr>
          <w:trHeight w:val="124"/>
        </w:trPr>
        <w:tc>
          <w:tcPr>
            <w:tcW w:w="2122" w:type="dxa"/>
            <w:gridSpan w:val="2"/>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Teacher:</w:t>
            </w:r>
          </w:p>
        </w:tc>
        <w:tc>
          <w:tcPr>
            <w:tcW w:w="7500" w:type="dxa"/>
            <w:gridSpan w:val="9"/>
          </w:tcPr>
          <w:p w:rsidR="00F865CD" w:rsidRPr="003A01B3" w:rsidRDefault="00F865CD" w:rsidP="00F56900">
            <w:pPr>
              <w:rPr>
                <w:rFonts w:ascii="Arial" w:eastAsia="Times New Roman" w:hAnsi="Arial" w:cs="Arial"/>
                <w:sz w:val="16"/>
                <w:szCs w:val="18"/>
                <w:lang w:val="en-GB"/>
              </w:rPr>
            </w:pPr>
            <w:r w:rsidRPr="003735A1">
              <w:rPr>
                <w:rFonts w:ascii="Arial" w:eastAsia="Times New Roman" w:hAnsi="Arial" w:cs="Arial"/>
                <w:sz w:val="16"/>
                <w:szCs w:val="18"/>
                <w:lang w:val="en-GB"/>
              </w:rPr>
              <w:t xml:space="preserve">Radovan V. </w:t>
            </w:r>
            <w:proofErr w:type="spellStart"/>
            <w:r w:rsidRPr="003735A1">
              <w:rPr>
                <w:rFonts w:ascii="Arial" w:eastAsia="Times New Roman" w:hAnsi="Arial" w:cs="Arial"/>
                <w:sz w:val="16"/>
                <w:szCs w:val="18"/>
                <w:lang w:val="en-GB"/>
              </w:rPr>
              <w:t>Pejanović</w:t>
            </w:r>
            <w:proofErr w:type="spellEnd"/>
            <w:r w:rsidRPr="003735A1">
              <w:rPr>
                <w:rFonts w:ascii="Arial" w:eastAsia="Times New Roman" w:hAnsi="Arial" w:cs="Arial"/>
                <w:sz w:val="16"/>
                <w:szCs w:val="18"/>
                <w:lang w:val="en-GB"/>
              </w:rPr>
              <w:t>, PhD</w:t>
            </w:r>
          </w:p>
        </w:tc>
      </w:tr>
      <w:tr w:rsidR="00F865CD" w:rsidTr="00F56900">
        <w:trPr>
          <w:trHeight w:val="123"/>
        </w:trPr>
        <w:tc>
          <w:tcPr>
            <w:tcW w:w="2122" w:type="dxa"/>
            <w:gridSpan w:val="2"/>
            <w:vAlign w:val="center"/>
          </w:tcPr>
          <w:p w:rsidR="00F865CD" w:rsidRPr="003735A1" w:rsidRDefault="00F865CD" w:rsidP="00F56900">
            <w:pPr>
              <w:rPr>
                <w:rFonts w:ascii="Arial" w:hAnsi="Arial" w:cs="Arial"/>
                <w:sz w:val="16"/>
                <w:szCs w:val="16"/>
              </w:rPr>
            </w:pPr>
            <w:r>
              <w:rPr>
                <w:rFonts w:ascii="Arial" w:hAnsi="Arial" w:cs="Arial"/>
                <w:sz w:val="16"/>
                <w:szCs w:val="16"/>
              </w:rPr>
              <w:t>Assistant:</w:t>
            </w:r>
          </w:p>
        </w:tc>
        <w:tc>
          <w:tcPr>
            <w:tcW w:w="7500" w:type="dxa"/>
            <w:gridSpan w:val="9"/>
          </w:tcPr>
          <w:p w:rsidR="00F865CD" w:rsidRPr="003735A1" w:rsidRDefault="00F865CD" w:rsidP="00F56900">
            <w:pPr>
              <w:rPr>
                <w:rFonts w:ascii="Arial" w:eastAsia="Times New Roman" w:hAnsi="Arial" w:cs="Arial"/>
                <w:sz w:val="16"/>
                <w:szCs w:val="18"/>
                <w:lang w:val="en-GB"/>
              </w:rPr>
            </w:pPr>
            <w:r w:rsidRPr="003735A1">
              <w:rPr>
                <w:rFonts w:ascii="Arial" w:eastAsia="Times New Roman" w:hAnsi="Arial" w:cs="Arial"/>
                <w:sz w:val="16"/>
                <w:szCs w:val="18"/>
                <w:lang w:val="en-GB"/>
              </w:rPr>
              <w:t xml:space="preserve">Mirela </w:t>
            </w:r>
            <w:proofErr w:type="spellStart"/>
            <w:r w:rsidRPr="003735A1">
              <w:rPr>
                <w:rFonts w:ascii="Arial" w:eastAsia="Times New Roman" w:hAnsi="Arial" w:cs="Arial"/>
                <w:sz w:val="16"/>
                <w:szCs w:val="18"/>
                <w:lang w:val="en-GB"/>
              </w:rPr>
              <w:t>Tomaš-Simin</w:t>
            </w:r>
            <w:proofErr w:type="spellEnd"/>
            <w:r w:rsidRPr="003735A1">
              <w:rPr>
                <w:rFonts w:ascii="Arial" w:eastAsia="Times New Roman" w:hAnsi="Arial" w:cs="Arial"/>
                <w:sz w:val="16"/>
                <w:szCs w:val="18"/>
                <w:lang w:val="en-GB"/>
              </w:rPr>
              <w:t xml:space="preserve">, MSc., Danica </w:t>
            </w:r>
            <w:proofErr w:type="spellStart"/>
            <w:r w:rsidRPr="003735A1">
              <w:rPr>
                <w:rFonts w:ascii="Arial" w:eastAsia="Times New Roman" w:hAnsi="Arial" w:cs="Arial"/>
                <w:sz w:val="16"/>
                <w:szCs w:val="18"/>
                <w:lang w:val="en-GB"/>
              </w:rPr>
              <w:t>Glavaš-Trbić</w:t>
            </w:r>
            <w:proofErr w:type="spellEnd"/>
            <w:r w:rsidRPr="003735A1">
              <w:rPr>
                <w:rFonts w:ascii="Arial" w:eastAsia="Times New Roman" w:hAnsi="Arial" w:cs="Arial"/>
                <w:sz w:val="16"/>
                <w:szCs w:val="18"/>
                <w:lang w:val="en-GB"/>
              </w:rPr>
              <w:t xml:space="preserve">, MSc., Sanja Č. </w:t>
            </w:r>
            <w:proofErr w:type="spellStart"/>
            <w:r w:rsidRPr="003735A1">
              <w:rPr>
                <w:rFonts w:ascii="Arial" w:eastAsia="Times New Roman" w:hAnsi="Arial" w:cs="Arial"/>
                <w:sz w:val="16"/>
                <w:szCs w:val="18"/>
                <w:lang w:val="en-GB"/>
              </w:rPr>
              <w:t>Đukić</w:t>
            </w:r>
            <w:proofErr w:type="spellEnd"/>
            <w:r w:rsidRPr="003735A1">
              <w:rPr>
                <w:rFonts w:ascii="Arial" w:eastAsia="Times New Roman" w:hAnsi="Arial" w:cs="Arial"/>
                <w:sz w:val="16"/>
                <w:szCs w:val="18"/>
                <w:lang w:val="en-GB"/>
              </w:rPr>
              <w:t>, MSc</w:t>
            </w:r>
          </w:p>
        </w:tc>
      </w:tr>
      <w:tr w:rsidR="00F865CD" w:rsidTr="00F56900">
        <w:tc>
          <w:tcPr>
            <w:tcW w:w="2122" w:type="dxa"/>
            <w:gridSpan w:val="2"/>
            <w:tcBorders>
              <w:bottom w:val="single" w:sz="4" w:space="0" w:color="auto"/>
            </w:tcBorders>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Course status</w:t>
            </w:r>
          </w:p>
        </w:tc>
        <w:tc>
          <w:tcPr>
            <w:tcW w:w="7500" w:type="dxa"/>
            <w:gridSpan w:val="9"/>
            <w:tcBorders>
              <w:bottom w:val="single" w:sz="4" w:space="0" w:color="auto"/>
            </w:tcBorders>
          </w:tcPr>
          <w:p w:rsidR="00F865CD" w:rsidRPr="003735A1" w:rsidRDefault="00F865CD" w:rsidP="00F56900">
            <w:pPr>
              <w:rPr>
                <w:rFonts w:ascii="Arial" w:hAnsi="Arial" w:cs="Arial"/>
              </w:rPr>
            </w:pPr>
            <w:r w:rsidRPr="003735A1">
              <w:rPr>
                <w:rFonts w:ascii="Arial" w:hAnsi="Arial" w:cs="Arial"/>
                <w:sz w:val="18"/>
                <w:szCs w:val="18"/>
              </w:rPr>
              <w:t>Mandatory</w:t>
            </w:r>
          </w:p>
        </w:tc>
      </w:tr>
      <w:tr w:rsidR="00F865CD" w:rsidTr="00F56900">
        <w:trPr>
          <w:trHeight w:val="227"/>
        </w:trPr>
        <w:tc>
          <w:tcPr>
            <w:tcW w:w="9622" w:type="dxa"/>
            <w:gridSpan w:val="11"/>
            <w:tcBorders>
              <w:bottom w:val="single" w:sz="4" w:space="0" w:color="auto"/>
            </w:tcBorders>
            <w:shd w:val="clear" w:color="auto" w:fill="C2D69B" w:themeFill="accent3" w:themeFillTint="99"/>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Number of active teaching classes (weekly)</w:t>
            </w:r>
          </w:p>
        </w:tc>
      </w:tr>
      <w:tr w:rsidR="00F865CD" w:rsidTr="00F56900">
        <w:trPr>
          <w:trHeight w:val="227"/>
        </w:trPr>
        <w:tc>
          <w:tcPr>
            <w:tcW w:w="2122" w:type="dxa"/>
            <w:gridSpan w:val="2"/>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Lectures: 4</w:t>
            </w:r>
          </w:p>
        </w:tc>
        <w:tc>
          <w:tcPr>
            <w:tcW w:w="1977" w:type="dxa"/>
            <w:gridSpan w:val="3"/>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Tutorials: 1</w:t>
            </w:r>
          </w:p>
        </w:tc>
        <w:tc>
          <w:tcPr>
            <w:tcW w:w="1834" w:type="dxa"/>
            <w:gridSpan w:val="2"/>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Other classes:</w:t>
            </w:r>
          </w:p>
        </w:tc>
      </w:tr>
      <w:tr w:rsidR="00F865CD" w:rsidRPr="005E42D1" w:rsidTr="00F56900">
        <w:tc>
          <w:tcPr>
            <w:tcW w:w="2122" w:type="dxa"/>
            <w:gridSpan w:val="2"/>
            <w:shd w:val="clear" w:color="auto" w:fill="C2D69B" w:themeFill="accent3" w:themeFillTint="99"/>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Precondition courses</w:t>
            </w:r>
          </w:p>
        </w:tc>
        <w:tc>
          <w:tcPr>
            <w:tcW w:w="7500" w:type="dxa"/>
            <w:gridSpan w:val="9"/>
            <w:shd w:val="clear" w:color="auto" w:fill="C2D69B" w:themeFill="accent3" w:themeFillTint="99"/>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None</w:t>
            </w:r>
          </w:p>
        </w:tc>
      </w:tr>
      <w:tr w:rsidR="00F865CD" w:rsidTr="00F56900">
        <w:tc>
          <w:tcPr>
            <w:tcW w:w="9622" w:type="dxa"/>
            <w:gridSpan w:val="11"/>
          </w:tcPr>
          <w:p w:rsidR="00F865CD" w:rsidRPr="003735A1" w:rsidRDefault="00F865CD" w:rsidP="00F865CD">
            <w:pPr>
              <w:pStyle w:val="ListParagraph"/>
              <w:numPr>
                <w:ilvl w:val="0"/>
                <w:numId w:val="1"/>
              </w:numPr>
              <w:ind w:left="284" w:hanging="284"/>
              <w:rPr>
                <w:rFonts w:ascii="Arial" w:hAnsi="Arial" w:cs="Arial"/>
                <w:sz w:val="16"/>
                <w:szCs w:val="16"/>
              </w:rPr>
            </w:pPr>
            <w:r w:rsidRPr="003735A1">
              <w:rPr>
                <w:rFonts w:ascii="Arial" w:hAnsi="Arial" w:cs="Arial"/>
                <w:sz w:val="16"/>
                <w:szCs w:val="16"/>
              </w:rPr>
              <w:t>Educational goal</w:t>
            </w:r>
          </w:p>
          <w:p w:rsidR="00F865CD" w:rsidRPr="003735A1" w:rsidRDefault="00F865CD" w:rsidP="00F56900">
            <w:pPr>
              <w:rPr>
                <w:rFonts w:ascii="Arial" w:hAnsi="Arial" w:cs="Arial"/>
                <w:sz w:val="18"/>
                <w:szCs w:val="18"/>
              </w:rPr>
            </w:pPr>
            <w:r w:rsidRPr="003735A1">
              <w:rPr>
                <w:rFonts w:ascii="Arial" w:eastAsia="Times New Roman" w:hAnsi="Arial" w:cs="Arial"/>
                <w:sz w:val="16"/>
                <w:szCs w:val="16"/>
                <w:lang w:val="en-GB"/>
              </w:rPr>
              <w:t>Microeconomics is a significant and dynamic field, which provides students with practical interpretations and applicable knowledge by dealing with topics such as analysis of demand, cost, market efficiency, pricing strategies, pricing in different market conditions.</w:t>
            </w:r>
          </w:p>
        </w:tc>
      </w:tr>
      <w:tr w:rsidR="00F865CD" w:rsidTr="00F56900">
        <w:tc>
          <w:tcPr>
            <w:tcW w:w="9622" w:type="dxa"/>
            <w:gridSpan w:val="11"/>
          </w:tcPr>
          <w:p w:rsidR="00F865CD" w:rsidRPr="003735A1" w:rsidRDefault="00F865CD" w:rsidP="00F865CD">
            <w:pPr>
              <w:pStyle w:val="ListParagraph"/>
              <w:numPr>
                <w:ilvl w:val="0"/>
                <w:numId w:val="1"/>
              </w:numPr>
              <w:ind w:left="284" w:hanging="284"/>
              <w:rPr>
                <w:rFonts w:ascii="Arial" w:hAnsi="Arial" w:cs="Arial"/>
                <w:sz w:val="16"/>
                <w:szCs w:val="16"/>
              </w:rPr>
            </w:pPr>
            <w:r w:rsidRPr="003735A1">
              <w:rPr>
                <w:rFonts w:ascii="Arial" w:hAnsi="Arial" w:cs="Arial"/>
                <w:sz w:val="16"/>
                <w:szCs w:val="16"/>
              </w:rPr>
              <w:t>Educational outcomes</w:t>
            </w:r>
          </w:p>
          <w:p w:rsidR="00F865CD" w:rsidRPr="003735A1" w:rsidRDefault="00F865CD" w:rsidP="00F56900">
            <w:pPr>
              <w:rPr>
                <w:rFonts w:ascii="Arial" w:hAnsi="Arial" w:cs="Arial"/>
                <w:sz w:val="16"/>
                <w:szCs w:val="16"/>
              </w:rPr>
            </w:pPr>
            <w:r w:rsidRPr="003735A1">
              <w:rPr>
                <w:rFonts w:ascii="Arial" w:hAnsi="Arial" w:cs="Arial"/>
                <w:sz w:val="16"/>
                <w:szCs w:val="16"/>
                <w:lang w:val="en-GB"/>
              </w:rPr>
              <w:t>Understanding the laws of microeconomic is crucial for future managerial decision-making, for creating and understanding government policies and, in general, for understanding how the modern society functions.</w:t>
            </w:r>
          </w:p>
        </w:tc>
      </w:tr>
      <w:tr w:rsidR="00F865CD" w:rsidTr="00F56900">
        <w:tc>
          <w:tcPr>
            <w:tcW w:w="9622" w:type="dxa"/>
            <w:gridSpan w:val="11"/>
          </w:tcPr>
          <w:p w:rsidR="00F865CD" w:rsidRPr="003735A1" w:rsidRDefault="00F865CD" w:rsidP="00F865CD">
            <w:pPr>
              <w:pStyle w:val="ListParagraph"/>
              <w:numPr>
                <w:ilvl w:val="0"/>
                <w:numId w:val="1"/>
              </w:numPr>
              <w:ind w:left="284" w:hanging="284"/>
              <w:rPr>
                <w:rFonts w:ascii="Arial" w:hAnsi="Arial" w:cs="Arial"/>
                <w:sz w:val="16"/>
                <w:szCs w:val="16"/>
              </w:rPr>
            </w:pPr>
            <w:r w:rsidRPr="003735A1">
              <w:rPr>
                <w:rFonts w:ascii="Arial" w:hAnsi="Arial" w:cs="Arial"/>
                <w:sz w:val="16"/>
                <w:szCs w:val="16"/>
              </w:rPr>
              <w:t>Course content</w:t>
            </w:r>
          </w:p>
          <w:p w:rsidR="00F865CD" w:rsidRPr="003735A1" w:rsidRDefault="00F865CD" w:rsidP="00F56900">
            <w:pPr>
              <w:rPr>
                <w:rFonts w:ascii="Arial" w:hAnsi="Arial" w:cs="Arial"/>
                <w:sz w:val="18"/>
                <w:szCs w:val="18"/>
              </w:rPr>
            </w:pPr>
            <w:r w:rsidRPr="003735A1">
              <w:rPr>
                <w:rFonts w:ascii="Arial" w:hAnsi="Arial" w:cs="Arial"/>
                <w:sz w:val="18"/>
                <w:szCs w:val="18"/>
              </w:rPr>
              <w:t>Theoretical Instruction</w:t>
            </w:r>
          </w:p>
          <w:p w:rsidR="00F865CD" w:rsidRPr="003735A1" w:rsidRDefault="00F865CD" w:rsidP="00F56900">
            <w:pPr>
              <w:rPr>
                <w:rFonts w:ascii="Arial" w:hAnsi="Arial" w:cs="Arial"/>
                <w:sz w:val="16"/>
                <w:szCs w:val="16"/>
                <w:lang w:val="en-GB"/>
              </w:rPr>
            </w:pPr>
            <w:r w:rsidRPr="003735A1">
              <w:rPr>
                <w:rFonts w:ascii="Arial" w:hAnsi="Arial" w:cs="Arial"/>
                <w:sz w:val="16"/>
                <w:szCs w:val="16"/>
                <w:lang w:val="en-GB"/>
              </w:rPr>
              <w:t>Part one – the fundamental categories of economics: the notion of economics, the method of economics, development of economic thought, the subject matter of  economics, the basic components of social production (production, distribution, exchange, consumption, reproduction), determinants of social production (natural conditions, natural resources, social wealth, population, productivity and labour intensity), economic entities and economic institutions,  economic factors (resources) of production (land, capital, labour, entrepreneurship, management, human capital, knowledge and science, importance and role of engineering and technology, infrastructure, economic role of the state), the basic principles of economics.</w:t>
            </w:r>
          </w:p>
          <w:p w:rsidR="00F865CD" w:rsidRDefault="00F865CD" w:rsidP="00F56900">
            <w:pPr>
              <w:rPr>
                <w:rFonts w:ascii="Arial" w:hAnsi="Arial" w:cs="Arial"/>
                <w:sz w:val="16"/>
                <w:szCs w:val="16"/>
                <w:lang w:val="en-GB"/>
              </w:rPr>
            </w:pPr>
            <w:r w:rsidRPr="003735A1">
              <w:rPr>
                <w:rFonts w:ascii="Arial" w:hAnsi="Arial" w:cs="Arial"/>
                <w:sz w:val="16"/>
                <w:szCs w:val="16"/>
                <w:lang w:val="en-GB"/>
              </w:rPr>
              <w:t>Part two – Introduction to microeconomics: the concept and the subject matter of  microeconomics, market and market relations (the concept and classification of the market, market structure, typology of  market structures), pricing on the commodity market (the law of supply, the law of demand, the balance of prices), elasticity and its application in economics (elasticity of supply,  elasticity of demand), changes in supply and demand, impact on prices, households and enterprises as market participants, rational behaviour on the market, pricing on the market of production factors (of labour, loan capital,  capital stock, land), monopolistic position on the market and game theory, market deformations (unemployment, risk and interventions).</w:t>
            </w:r>
          </w:p>
          <w:p w:rsidR="00F865CD" w:rsidRPr="003735A1" w:rsidRDefault="00F865CD" w:rsidP="00F56900">
            <w:pPr>
              <w:rPr>
                <w:rFonts w:ascii="Arial" w:hAnsi="Arial" w:cs="Arial"/>
                <w:sz w:val="16"/>
                <w:szCs w:val="16"/>
                <w:lang w:val="en-GB"/>
              </w:rPr>
            </w:pPr>
          </w:p>
          <w:p w:rsidR="00F865CD" w:rsidRPr="003735A1" w:rsidRDefault="00F865CD" w:rsidP="00F56900">
            <w:pPr>
              <w:rPr>
                <w:rFonts w:ascii="Arial" w:hAnsi="Arial" w:cs="Arial"/>
                <w:sz w:val="18"/>
                <w:szCs w:val="18"/>
              </w:rPr>
            </w:pPr>
            <w:r w:rsidRPr="003735A1">
              <w:rPr>
                <w:rFonts w:ascii="Arial" w:hAnsi="Arial" w:cs="Arial"/>
                <w:sz w:val="18"/>
                <w:szCs w:val="18"/>
              </w:rPr>
              <w:t>Practical Instruction</w:t>
            </w:r>
          </w:p>
          <w:p w:rsidR="00F865CD" w:rsidRPr="003735A1" w:rsidRDefault="00F865CD" w:rsidP="00F56900">
            <w:pPr>
              <w:rPr>
                <w:rFonts w:ascii="Arial" w:hAnsi="Arial" w:cs="Arial"/>
                <w:sz w:val="16"/>
                <w:szCs w:val="16"/>
                <w:lang w:val="en-GB"/>
              </w:rPr>
            </w:pPr>
            <w:r w:rsidRPr="003735A1">
              <w:rPr>
                <w:rFonts w:ascii="Arial" w:hAnsi="Arial" w:cs="Arial"/>
                <w:sz w:val="16"/>
                <w:szCs w:val="16"/>
                <w:lang w:val="en-GB"/>
              </w:rPr>
              <w:t>During tutorials, students present their seminar papers and actively participate in discussions. The topics discussed during tutorials are in accordance with the curriculum of the lectures. The topics include:</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The notion, subject matter and basics of microeconomics,</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Supply, demand, and consumer behaviour,</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Production, organisation and costs,</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Offer of competing companies –offer behaviour and efficiency of competitive markets,</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Imperfect competition and monopoly, oligopoly and monopolistic competition,</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Market and prices of production factors,</w:t>
            </w:r>
          </w:p>
          <w:p w:rsidR="00F865CD" w:rsidRPr="003735A1" w:rsidRDefault="00F865CD" w:rsidP="00F865CD">
            <w:pPr>
              <w:pStyle w:val="ListParagraph"/>
              <w:numPr>
                <w:ilvl w:val="0"/>
                <w:numId w:val="3"/>
              </w:numPr>
              <w:rPr>
                <w:rFonts w:ascii="Arial" w:hAnsi="Arial" w:cs="Arial"/>
                <w:sz w:val="16"/>
                <w:szCs w:val="16"/>
                <w:lang w:val="en-GB"/>
              </w:rPr>
            </w:pPr>
            <w:r w:rsidRPr="003735A1">
              <w:rPr>
                <w:rFonts w:ascii="Arial" w:hAnsi="Arial" w:cs="Arial"/>
                <w:sz w:val="16"/>
                <w:szCs w:val="16"/>
                <w:lang w:val="en-GB"/>
              </w:rPr>
              <w:t>Market, economic efficiency and the state</w:t>
            </w:r>
          </w:p>
        </w:tc>
      </w:tr>
      <w:tr w:rsidR="00F865CD" w:rsidTr="00F56900">
        <w:tc>
          <w:tcPr>
            <w:tcW w:w="9622" w:type="dxa"/>
            <w:gridSpan w:val="11"/>
            <w:tcBorders>
              <w:bottom w:val="single" w:sz="4" w:space="0" w:color="auto"/>
            </w:tcBorders>
          </w:tcPr>
          <w:p w:rsidR="00F865CD" w:rsidRPr="003735A1" w:rsidRDefault="00F865CD" w:rsidP="00F865CD">
            <w:pPr>
              <w:pStyle w:val="ListParagraph"/>
              <w:numPr>
                <w:ilvl w:val="0"/>
                <w:numId w:val="1"/>
              </w:numPr>
              <w:ind w:left="284" w:hanging="284"/>
              <w:rPr>
                <w:rFonts w:ascii="Arial" w:hAnsi="Arial" w:cs="Arial"/>
                <w:sz w:val="16"/>
                <w:szCs w:val="16"/>
              </w:rPr>
            </w:pPr>
            <w:r w:rsidRPr="003735A1">
              <w:rPr>
                <w:rFonts w:ascii="Arial" w:hAnsi="Arial" w:cs="Arial"/>
                <w:sz w:val="16"/>
                <w:szCs w:val="16"/>
              </w:rPr>
              <w:t>Teaching methods</w:t>
            </w:r>
          </w:p>
          <w:p w:rsidR="00F865CD" w:rsidRPr="003735A1" w:rsidRDefault="00F865CD" w:rsidP="00F56900">
            <w:pPr>
              <w:rPr>
                <w:rFonts w:ascii="Arial" w:hAnsi="Arial" w:cs="Arial"/>
                <w:sz w:val="18"/>
                <w:szCs w:val="18"/>
              </w:rPr>
            </w:pPr>
            <w:r w:rsidRPr="003735A1">
              <w:rPr>
                <w:rFonts w:ascii="Arial" w:hAnsi="Arial" w:cs="Arial"/>
                <w:sz w:val="16"/>
                <w:szCs w:val="16"/>
                <w:lang w:val="en-GB"/>
              </w:rPr>
              <w:t>Theoretical and practical instruction takes place in lecture halls and classrooms using prepared power point presentations.</w:t>
            </w:r>
          </w:p>
        </w:tc>
      </w:tr>
      <w:tr w:rsidR="00F865CD" w:rsidTr="00F56900">
        <w:tc>
          <w:tcPr>
            <w:tcW w:w="9622" w:type="dxa"/>
            <w:gridSpan w:val="11"/>
            <w:tcBorders>
              <w:bottom w:val="single" w:sz="4" w:space="0" w:color="auto"/>
            </w:tcBorders>
            <w:shd w:val="clear" w:color="auto" w:fill="C2D69B" w:themeFill="accent3" w:themeFillTint="99"/>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Knowledge evaluation (maximum 100 points)</w:t>
            </w:r>
          </w:p>
        </w:tc>
      </w:tr>
      <w:tr w:rsidR="00F865CD" w:rsidTr="00F56900">
        <w:tc>
          <w:tcPr>
            <w:tcW w:w="2404" w:type="dxa"/>
            <w:gridSpan w:val="3"/>
            <w:shd w:val="clear" w:color="auto" w:fill="auto"/>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Pre-examination obligations</w:t>
            </w:r>
          </w:p>
        </w:tc>
        <w:tc>
          <w:tcPr>
            <w:tcW w:w="1133" w:type="dxa"/>
            <w:shd w:val="clear" w:color="auto" w:fill="auto"/>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Mandatory</w:t>
            </w:r>
          </w:p>
        </w:tc>
        <w:tc>
          <w:tcPr>
            <w:tcW w:w="1294"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Points</w:t>
            </w:r>
          </w:p>
        </w:tc>
        <w:tc>
          <w:tcPr>
            <w:tcW w:w="2513"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 xml:space="preserve">Final exam </w:t>
            </w:r>
          </w:p>
        </w:tc>
        <w:tc>
          <w:tcPr>
            <w:tcW w:w="1132"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Mandatory</w:t>
            </w:r>
          </w:p>
        </w:tc>
        <w:tc>
          <w:tcPr>
            <w:tcW w:w="1146" w:type="dxa"/>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Points</w:t>
            </w:r>
          </w:p>
        </w:tc>
      </w:tr>
      <w:tr w:rsidR="00F865CD" w:rsidTr="00F56900">
        <w:tc>
          <w:tcPr>
            <w:tcW w:w="2404" w:type="dxa"/>
            <w:gridSpan w:val="3"/>
            <w:shd w:val="clear" w:color="auto" w:fill="auto"/>
            <w:vAlign w:val="center"/>
          </w:tcPr>
          <w:p w:rsidR="00F865CD" w:rsidRPr="003735A1" w:rsidRDefault="00F865CD" w:rsidP="00F56900">
            <w:pPr>
              <w:rPr>
                <w:rFonts w:ascii="Arial" w:hAnsi="Arial" w:cs="Arial"/>
                <w:sz w:val="18"/>
                <w:szCs w:val="18"/>
              </w:rPr>
            </w:pPr>
            <w:r w:rsidRPr="003735A1">
              <w:rPr>
                <w:rFonts w:ascii="Arial" w:hAnsi="Arial" w:cs="Arial"/>
                <w:sz w:val="18"/>
                <w:szCs w:val="18"/>
              </w:rPr>
              <w:t>Lecture attendance</w:t>
            </w:r>
          </w:p>
        </w:tc>
        <w:tc>
          <w:tcPr>
            <w:tcW w:w="1133" w:type="dxa"/>
            <w:shd w:val="clear" w:color="auto" w:fill="auto"/>
            <w:vAlign w:val="center"/>
          </w:tcPr>
          <w:p w:rsidR="00F865CD" w:rsidRPr="003735A1" w:rsidRDefault="00F865CD" w:rsidP="00F56900">
            <w:pPr>
              <w:jc w:val="center"/>
              <w:rPr>
                <w:rFonts w:ascii="Arial" w:hAnsi="Arial" w:cs="Arial"/>
              </w:rPr>
            </w:pPr>
            <w:r w:rsidRPr="003735A1">
              <w:rPr>
                <w:rFonts w:ascii="Arial" w:hAnsi="Arial" w:cs="Arial"/>
                <w:sz w:val="16"/>
                <w:szCs w:val="16"/>
              </w:rPr>
              <w:t>Yes/No</w:t>
            </w:r>
          </w:p>
        </w:tc>
        <w:tc>
          <w:tcPr>
            <w:tcW w:w="1294"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5</w:t>
            </w:r>
          </w:p>
        </w:tc>
        <w:tc>
          <w:tcPr>
            <w:tcW w:w="2513" w:type="dxa"/>
            <w:gridSpan w:val="2"/>
            <w:shd w:val="clear" w:color="auto" w:fill="auto"/>
            <w:vAlign w:val="center"/>
          </w:tcPr>
          <w:p w:rsidR="00F865CD" w:rsidRPr="003735A1" w:rsidRDefault="00F865CD" w:rsidP="00F56900">
            <w:pPr>
              <w:jc w:val="center"/>
              <w:rPr>
                <w:rFonts w:ascii="Arial" w:hAnsi="Arial" w:cs="Arial"/>
                <w:i/>
                <w:sz w:val="14"/>
                <w:szCs w:val="14"/>
              </w:rPr>
            </w:pPr>
            <w:r w:rsidRPr="003735A1">
              <w:rPr>
                <w:rFonts w:ascii="Arial" w:hAnsi="Arial" w:cs="Arial"/>
                <w:i/>
                <w:sz w:val="14"/>
                <w:szCs w:val="14"/>
              </w:rPr>
              <w:t>Oral part exam/</w:t>
            </w:r>
          </w:p>
        </w:tc>
        <w:tc>
          <w:tcPr>
            <w:tcW w:w="1132"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Yes</w:t>
            </w:r>
          </w:p>
        </w:tc>
        <w:tc>
          <w:tcPr>
            <w:tcW w:w="1146" w:type="dxa"/>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50</w:t>
            </w:r>
          </w:p>
        </w:tc>
      </w:tr>
      <w:tr w:rsidR="00F865CD" w:rsidTr="00F56900">
        <w:tc>
          <w:tcPr>
            <w:tcW w:w="2404" w:type="dxa"/>
            <w:gridSpan w:val="3"/>
            <w:shd w:val="clear" w:color="auto" w:fill="auto"/>
            <w:vAlign w:val="center"/>
          </w:tcPr>
          <w:p w:rsidR="00F865CD" w:rsidRPr="003735A1" w:rsidRDefault="00F865CD" w:rsidP="00F56900">
            <w:pPr>
              <w:rPr>
                <w:rFonts w:ascii="Arial" w:hAnsi="Arial" w:cs="Arial"/>
                <w:sz w:val="18"/>
                <w:szCs w:val="18"/>
              </w:rPr>
            </w:pPr>
            <w:r w:rsidRPr="003735A1">
              <w:rPr>
                <w:rFonts w:ascii="Arial" w:hAnsi="Arial" w:cs="Arial"/>
                <w:sz w:val="18"/>
                <w:szCs w:val="18"/>
              </w:rPr>
              <w:t>Test</w:t>
            </w:r>
          </w:p>
        </w:tc>
        <w:tc>
          <w:tcPr>
            <w:tcW w:w="1133" w:type="dxa"/>
            <w:shd w:val="clear" w:color="auto" w:fill="auto"/>
            <w:vAlign w:val="center"/>
          </w:tcPr>
          <w:p w:rsidR="00F865CD" w:rsidRPr="003735A1" w:rsidRDefault="00F865CD" w:rsidP="00F56900">
            <w:pPr>
              <w:jc w:val="center"/>
              <w:rPr>
                <w:rFonts w:ascii="Arial" w:hAnsi="Arial" w:cs="Arial"/>
              </w:rPr>
            </w:pPr>
            <w:r w:rsidRPr="003735A1">
              <w:rPr>
                <w:rFonts w:ascii="Arial" w:hAnsi="Arial" w:cs="Arial"/>
                <w:sz w:val="16"/>
                <w:szCs w:val="16"/>
              </w:rPr>
              <w:t>Yes/No</w:t>
            </w:r>
          </w:p>
        </w:tc>
        <w:tc>
          <w:tcPr>
            <w:tcW w:w="1294"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30</w:t>
            </w:r>
          </w:p>
        </w:tc>
        <w:tc>
          <w:tcPr>
            <w:tcW w:w="4791" w:type="dxa"/>
            <w:gridSpan w:val="5"/>
            <w:vMerge w:val="restart"/>
            <w:shd w:val="clear" w:color="auto" w:fill="auto"/>
            <w:vAlign w:val="center"/>
          </w:tcPr>
          <w:p w:rsidR="00F865CD" w:rsidRPr="003735A1" w:rsidRDefault="00F865CD" w:rsidP="00F56900">
            <w:pPr>
              <w:jc w:val="center"/>
              <w:rPr>
                <w:rFonts w:ascii="Arial" w:hAnsi="Arial" w:cs="Arial"/>
                <w:sz w:val="16"/>
                <w:szCs w:val="16"/>
              </w:rPr>
            </w:pPr>
          </w:p>
        </w:tc>
      </w:tr>
      <w:tr w:rsidR="00F865CD" w:rsidTr="00F56900">
        <w:tc>
          <w:tcPr>
            <w:tcW w:w="2404" w:type="dxa"/>
            <w:gridSpan w:val="3"/>
            <w:shd w:val="clear" w:color="auto" w:fill="auto"/>
            <w:vAlign w:val="center"/>
          </w:tcPr>
          <w:p w:rsidR="00F865CD" w:rsidRPr="003735A1" w:rsidRDefault="00F865CD" w:rsidP="00F56900">
            <w:pPr>
              <w:rPr>
                <w:rFonts w:ascii="Arial" w:hAnsi="Arial" w:cs="Arial"/>
                <w:sz w:val="18"/>
                <w:szCs w:val="18"/>
              </w:rPr>
            </w:pPr>
            <w:r w:rsidRPr="003735A1">
              <w:rPr>
                <w:rFonts w:ascii="Arial" w:hAnsi="Arial" w:cs="Arial"/>
                <w:sz w:val="18"/>
                <w:szCs w:val="18"/>
              </w:rPr>
              <w:t>Tutorials attendance</w:t>
            </w:r>
          </w:p>
        </w:tc>
        <w:tc>
          <w:tcPr>
            <w:tcW w:w="1133" w:type="dxa"/>
            <w:shd w:val="clear" w:color="auto" w:fill="auto"/>
            <w:vAlign w:val="center"/>
          </w:tcPr>
          <w:p w:rsidR="00F865CD" w:rsidRPr="003735A1" w:rsidRDefault="00F865CD" w:rsidP="00F56900">
            <w:pPr>
              <w:jc w:val="center"/>
              <w:rPr>
                <w:rFonts w:ascii="Arial" w:hAnsi="Arial" w:cs="Arial"/>
              </w:rPr>
            </w:pPr>
            <w:r w:rsidRPr="003735A1">
              <w:rPr>
                <w:rFonts w:ascii="Arial" w:hAnsi="Arial" w:cs="Arial"/>
                <w:sz w:val="16"/>
                <w:szCs w:val="16"/>
              </w:rPr>
              <w:t>Yes/No</w:t>
            </w:r>
          </w:p>
        </w:tc>
        <w:tc>
          <w:tcPr>
            <w:tcW w:w="1294" w:type="dxa"/>
            <w:gridSpan w:val="2"/>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5</w:t>
            </w:r>
          </w:p>
        </w:tc>
        <w:tc>
          <w:tcPr>
            <w:tcW w:w="4791" w:type="dxa"/>
            <w:gridSpan w:val="5"/>
            <w:vMerge/>
            <w:shd w:val="clear" w:color="auto" w:fill="auto"/>
            <w:vAlign w:val="center"/>
          </w:tcPr>
          <w:p w:rsidR="00F865CD" w:rsidRPr="003735A1" w:rsidRDefault="00F865CD" w:rsidP="00F56900">
            <w:pPr>
              <w:jc w:val="center"/>
              <w:rPr>
                <w:rFonts w:ascii="Arial" w:hAnsi="Arial" w:cs="Arial"/>
                <w:sz w:val="16"/>
                <w:szCs w:val="16"/>
              </w:rPr>
            </w:pPr>
          </w:p>
        </w:tc>
      </w:tr>
      <w:tr w:rsidR="00F865CD" w:rsidTr="00F56900">
        <w:tc>
          <w:tcPr>
            <w:tcW w:w="2404" w:type="dxa"/>
            <w:gridSpan w:val="3"/>
            <w:tcBorders>
              <w:bottom w:val="single" w:sz="4" w:space="0" w:color="auto"/>
            </w:tcBorders>
            <w:shd w:val="clear" w:color="auto" w:fill="auto"/>
            <w:vAlign w:val="center"/>
          </w:tcPr>
          <w:p w:rsidR="00F865CD" w:rsidRPr="003735A1" w:rsidRDefault="00F865CD" w:rsidP="00F56900">
            <w:pPr>
              <w:rPr>
                <w:rFonts w:ascii="Arial" w:hAnsi="Arial" w:cs="Arial"/>
                <w:sz w:val="16"/>
                <w:szCs w:val="16"/>
              </w:rPr>
            </w:pPr>
            <w:r w:rsidRPr="003735A1">
              <w:rPr>
                <w:rFonts w:ascii="Arial" w:hAnsi="Arial" w:cs="Arial"/>
                <w:sz w:val="16"/>
                <w:szCs w:val="16"/>
              </w:rPr>
              <w:t>Seminar paper</w:t>
            </w:r>
          </w:p>
        </w:tc>
        <w:tc>
          <w:tcPr>
            <w:tcW w:w="1133" w:type="dxa"/>
            <w:tcBorders>
              <w:bottom w:val="single" w:sz="4" w:space="0" w:color="auto"/>
            </w:tcBorders>
            <w:shd w:val="clear" w:color="auto" w:fill="auto"/>
            <w:vAlign w:val="center"/>
          </w:tcPr>
          <w:p w:rsidR="00F865CD" w:rsidRPr="003735A1" w:rsidRDefault="00F865CD" w:rsidP="00F56900">
            <w:pPr>
              <w:jc w:val="center"/>
              <w:rPr>
                <w:rFonts w:ascii="Arial" w:hAnsi="Arial" w:cs="Arial"/>
              </w:rPr>
            </w:pPr>
            <w:r w:rsidRPr="003735A1">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10</w:t>
            </w:r>
          </w:p>
        </w:tc>
        <w:tc>
          <w:tcPr>
            <w:tcW w:w="4791" w:type="dxa"/>
            <w:gridSpan w:val="5"/>
            <w:vMerge/>
            <w:tcBorders>
              <w:bottom w:val="single" w:sz="4" w:space="0" w:color="auto"/>
            </w:tcBorders>
            <w:shd w:val="clear" w:color="auto" w:fill="auto"/>
            <w:vAlign w:val="center"/>
          </w:tcPr>
          <w:p w:rsidR="00F865CD" w:rsidRPr="003735A1" w:rsidRDefault="00F865CD" w:rsidP="00F56900">
            <w:pPr>
              <w:jc w:val="center"/>
              <w:rPr>
                <w:rFonts w:ascii="Arial" w:hAnsi="Arial" w:cs="Arial"/>
                <w:sz w:val="16"/>
                <w:szCs w:val="16"/>
              </w:rPr>
            </w:pPr>
          </w:p>
        </w:tc>
      </w:tr>
      <w:tr w:rsidR="00F865CD" w:rsidTr="00F56900">
        <w:tc>
          <w:tcPr>
            <w:tcW w:w="9622" w:type="dxa"/>
            <w:gridSpan w:val="11"/>
            <w:shd w:val="clear" w:color="auto" w:fill="C2D69B" w:themeFill="accent3" w:themeFillTint="99"/>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 xml:space="preserve">Literature </w:t>
            </w:r>
          </w:p>
        </w:tc>
      </w:tr>
      <w:tr w:rsidR="00F865CD" w:rsidTr="00F56900">
        <w:tc>
          <w:tcPr>
            <w:tcW w:w="710" w:type="dxa"/>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Ord.</w:t>
            </w:r>
          </w:p>
        </w:tc>
        <w:tc>
          <w:tcPr>
            <w:tcW w:w="1694" w:type="dxa"/>
            <w:gridSpan w:val="2"/>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Author</w:t>
            </w:r>
          </w:p>
        </w:tc>
        <w:tc>
          <w:tcPr>
            <w:tcW w:w="2427" w:type="dxa"/>
            <w:gridSpan w:val="3"/>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Title</w:t>
            </w:r>
          </w:p>
        </w:tc>
        <w:tc>
          <w:tcPr>
            <w:tcW w:w="3645" w:type="dxa"/>
            <w:gridSpan w:val="4"/>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Publisher</w:t>
            </w:r>
          </w:p>
        </w:tc>
        <w:tc>
          <w:tcPr>
            <w:tcW w:w="1146" w:type="dxa"/>
            <w:vAlign w:val="center"/>
          </w:tcPr>
          <w:p w:rsidR="00F865CD" w:rsidRPr="003735A1" w:rsidRDefault="00F865CD" w:rsidP="00F56900">
            <w:pPr>
              <w:jc w:val="center"/>
              <w:rPr>
                <w:rFonts w:ascii="Arial" w:hAnsi="Arial" w:cs="Arial"/>
                <w:sz w:val="16"/>
                <w:szCs w:val="16"/>
              </w:rPr>
            </w:pPr>
            <w:r w:rsidRPr="003735A1">
              <w:rPr>
                <w:rFonts w:ascii="Arial" w:hAnsi="Arial" w:cs="Arial"/>
                <w:sz w:val="16"/>
                <w:szCs w:val="16"/>
              </w:rPr>
              <w:t>Year</w:t>
            </w:r>
          </w:p>
        </w:tc>
      </w:tr>
      <w:tr w:rsidR="00F865CD" w:rsidTr="00F56900">
        <w:tc>
          <w:tcPr>
            <w:tcW w:w="710" w:type="dxa"/>
            <w:vAlign w:val="center"/>
          </w:tcPr>
          <w:p w:rsidR="00F865CD" w:rsidRPr="003735A1" w:rsidRDefault="00F865CD" w:rsidP="00F56900">
            <w:pPr>
              <w:ind w:left="360"/>
              <w:jc w:val="center"/>
              <w:rPr>
                <w:rFonts w:ascii="Arial" w:hAnsi="Arial" w:cs="Arial"/>
                <w:sz w:val="16"/>
                <w:szCs w:val="16"/>
              </w:rPr>
            </w:pPr>
            <w:r w:rsidRPr="003735A1">
              <w:rPr>
                <w:rFonts w:ascii="Arial" w:hAnsi="Arial" w:cs="Arial"/>
                <w:sz w:val="16"/>
                <w:szCs w:val="16"/>
              </w:rPr>
              <w:t>1.</w:t>
            </w:r>
          </w:p>
        </w:tc>
        <w:tc>
          <w:tcPr>
            <w:tcW w:w="1694" w:type="dxa"/>
            <w:gridSpan w:val="2"/>
          </w:tcPr>
          <w:p w:rsidR="00F865CD" w:rsidRPr="003735A1" w:rsidRDefault="00F865CD" w:rsidP="00F56900">
            <w:pPr>
              <w:widowControl w:val="0"/>
              <w:tabs>
                <w:tab w:val="left" w:pos="360"/>
              </w:tabs>
              <w:autoSpaceDE w:val="0"/>
              <w:autoSpaceDN w:val="0"/>
              <w:adjustRightInd w:val="0"/>
              <w:ind w:right="-57"/>
              <w:contextualSpacing/>
              <w:rPr>
                <w:rFonts w:ascii="Arial" w:eastAsia="Times New Roman" w:hAnsi="Arial" w:cs="Arial"/>
                <w:bCs/>
                <w:sz w:val="16"/>
                <w:szCs w:val="18"/>
                <w:lang w:val="sr-Cyrl-CS" w:eastAsia="sr-Latn-CS"/>
              </w:rPr>
            </w:pPr>
            <w:r w:rsidRPr="003735A1">
              <w:rPr>
                <w:rFonts w:ascii="Arial" w:eastAsia="Times New Roman" w:hAnsi="Arial" w:cs="Arial"/>
                <w:bCs/>
                <w:sz w:val="16"/>
                <w:szCs w:val="18"/>
                <w:lang w:val="sr-Cyrl-CS" w:eastAsia="sr-Latn-CS"/>
              </w:rPr>
              <w:t>Pejanović, R.</w:t>
            </w:r>
          </w:p>
        </w:tc>
        <w:tc>
          <w:tcPr>
            <w:tcW w:w="2427" w:type="dxa"/>
            <w:gridSpan w:val="3"/>
            <w:vAlign w:val="center"/>
          </w:tcPr>
          <w:p w:rsidR="00F865CD" w:rsidRPr="003735A1" w:rsidRDefault="00F865CD" w:rsidP="00F56900">
            <w:pPr>
              <w:jc w:val="center"/>
              <w:rPr>
                <w:rFonts w:ascii="Arial" w:hAnsi="Arial" w:cs="Arial"/>
                <w:sz w:val="16"/>
                <w:szCs w:val="16"/>
              </w:rPr>
            </w:pPr>
            <w:r w:rsidRPr="003735A1">
              <w:rPr>
                <w:rFonts w:ascii="Arial" w:eastAsia="Times New Roman" w:hAnsi="Arial" w:cs="Arial"/>
                <w:bCs/>
                <w:sz w:val="16"/>
                <w:szCs w:val="18"/>
                <w:lang w:val="sr-Cyrl-CS" w:eastAsia="sr-Latn-CS"/>
              </w:rPr>
              <w:t>Uvod u (mikro)ekonomiju</w:t>
            </w:r>
          </w:p>
        </w:tc>
        <w:tc>
          <w:tcPr>
            <w:tcW w:w="3645" w:type="dxa"/>
            <w:gridSpan w:val="4"/>
            <w:vAlign w:val="center"/>
          </w:tcPr>
          <w:p w:rsidR="00F865CD" w:rsidRPr="003735A1" w:rsidRDefault="00F865CD" w:rsidP="00F56900">
            <w:pPr>
              <w:jc w:val="center"/>
              <w:rPr>
                <w:rFonts w:ascii="Arial" w:hAnsi="Arial" w:cs="Arial"/>
                <w:sz w:val="16"/>
                <w:szCs w:val="16"/>
              </w:rPr>
            </w:pPr>
            <w:r w:rsidRPr="003735A1">
              <w:rPr>
                <w:rFonts w:ascii="Arial" w:eastAsia="Times New Roman" w:hAnsi="Arial" w:cs="Arial"/>
                <w:bCs/>
                <w:sz w:val="16"/>
                <w:szCs w:val="18"/>
                <w:lang w:val="sr-Cyrl-CS" w:eastAsia="sr-Latn-CS"/>
              </w:rPr>
              <w:t>Poljoprivredni fakultet, Novi Sad</w:t>
            </w:r>
          </w:p>
        </w:tc>
        <w:tc>
          <w:tcPr>
            <w:tcW w:w="1146" w:type="dxa"/>
            <w:vAlign w:val="center"/>
          </w:tcPr>
          <w:p w:rsidR="00F865CD" w:rsidRPr="003735A1" w:rsidRDefault="00F865CD" w:rsidP="00F56900">
            <w:pPr>
              <w:jc w:val="center"/>
              <w:rPr>
                <w:rFonts w:ascii="Arial" w:hAnsi="Arial" w:cs="Arial"/>
                <w:sz w:val="16"/>
                <w:szCs w:val="16"/>
              </w:rPr>
            </w:pPr>
            <w:r w:rsidRPr="003735A1">
              <w:rPr>
                <w:rFonts w:ascii="Arial" w:eastAsia="Times New Roman" w:hAnsi="Arial" w:cs="Arial"/>
                <w:bCs/>
                <w:sz w:val="16"/>
                <w:szCs w:val="18"/>
                <w:lang w:val="sr-Cyrl-CS" w:eastAsia="sr-Latn-CS"/>
              </w:rPr>
              <w:t>2012</w:t>
            </w:r>
          </w:p>
        </w:tc>
      </w:tr>
      <w:tr w:rsidR="00F865CD" w:rsidTr="00F56900">
        <w:tc>
          <w:tcPr>
            <w:tcW w:w="710" w:type="dxa"/>
            <w:vAlign w:val="center"/>
          </w:tcPr>
          <w:p w:rsidR="00F865CD" w:rsidRPr="003735A1" w:rsidRDefault="00F865CD" w:rsidP="00F56900">
            <w:pPr>
              <w:ind w:left="360"/>
              <w:jc w:val="center"/>
              <w:rPr>
                <w:rFonts w:ascii="Arial" w:hAnsi="Arial" w:cs="Arial"/>
                <w:sz w:val="16"/>
                <w:szCs w:val="16"/>
              </w:rPr>
            </w:pPr>
            <w:r w:rsidRPr="003735A1">
              <w:rPr>
                <w:rFonts w:ascii="Arial" w:hAnsi="Arial" w:cs="Arial"/>
                <w:sz w:val="16"/>
                <w:szCs w:val="16"/>
              </w:rPr>
              <w:t>2.</w:t>
            </w:r>
          </w:p>
        </w:tc>
        <w:tc>
          <w:tcPr>
            <w:tcW w:w="1694" w:type="dxa"/>
            <w:gridSpan w:val="2"/>
          </w:tcPr>
          <w:p w:rsidR="00F865CD" w:rsidRPr="003735A1" w:rsidRDefault="00F865CD" w:rsidP="00F56900">
            <w:pPr>
              <w:widowControl w:val="0"/>
              <w:tabs>
                <w:tab w:val="left" w:pos="360"/>
              </w:tabs>
              <w:autoSpaceDE w:val="0"/>
              <w:autoSpaceDN w:val="0"/>
              <w:adjustRightInd w:val="0"/>
              <w:ind w:right="-57"/>
              <w:contextualSpacing/>
              <w:rPr>
                <w:rFonts w:ascii="Arial" w:eastAsia="Times New Roman" w:hAnsi="Arial" w:cs="Arial"/>
                <w:bCs/>
                <w:sz w:val="16"/>
                <w:szCs w:val="18"/>
                <w:lang w:eastAsia="sr-Latn-CS"/>
              </w:rPr>
            </w:pPr>
            <w:r w:rsidRPr="003735A1">
              <w:rPr>
                <w:rFonts w:ascii="Arial" w:eastAsia="Times New Roman" w:hAnsi="Arial" w:cs="Arial"/>
                <w:sz w:val="16"/>
                <w:szCs w:val="18"/>
                <w:lang w:val="sr-Cyrl-CS" w:eastAsia="sr-Latn-CS"/>
              </w:rPr>
              <w:t>Vari</w:t>
            </w:r>
            <w:r w:rsidRPr="003735A1">
              <w:rPr>
                <w:rFonts w:ascii="Arial" w:eastAsia="Times New Roman" w:hAnsi="Arial" w:cs="Arial"/>
                <w:sz w:val="16"/>
                <w:szCs w:val="18"/>
                <w:lang w:eastAsia="sr-Latn-CS"/>
              </w:rPr>
              <w:t>a</w:t>
            </w:r>
            <w:r w:rsidRPr="003735A1">
              <w:rPr>
                <w:rFonts w:ascii="Arial" w:eastAsia="Times New Roman" w:hAnsi="Arial" w:cs="Arial"/>
                <w:sz w:val="16"/>
                <w:szCs w:val="18"/>
                <w:lang w:val="sr-Cyrl-CS" w:eastAsia="sr-Latn-CS"/>
              </w:rPr>
              <w:t>n Hal, R</w:t>
            </w:r>
            <w:r w:rsidRPr="003735A1">
              <w:rPr>
                <w:rFonts w:ascii="Arial" w:eastAsia="Times New Roman" w:hAnsi="Arial" w:cs="Arial"/>
                <w:b/>
                <w:sz w:val="16"/>
                <w:szCs w:val="18"/>
                <w:lang w:val="sr-Cyrl-CS" w:eastAsia="sr-Latn-CS"/>
              </w:rPr>
              <w:t>.</w:t>
            </w:r>
            <w:r w:rsidRPr="003735A1">
              <w:rPr>
                <w:rFonts w:ascii="Arial" w:eastAsia="Times New Roman" w:hAnsi="Arial" w:cs="Arial"/>
                <w:i/>
                <w:sz w:val="16"/>
                <w:szCs w:val="18"/>
                <w:lang w:val="sr-Cyrl-CS" w:eastAsia="sr-Latn-CS"/>
              </w:rPr>
              <w:t xml:space="preserve"> </w:t>
            </w:r>
          </w:p>
        </w:tc>
        <w:tc>
          <w:tcPr>
            <w:tcW w:w="2427" w:type="dxa"/>
            <w:gridSpan w:val="3"/>
            <w:vAlign w:val="center"/>
          </w:tcPr>
          <w:p w:rsidR="00F865CD" w:rsidRPr="003735A1" w:rsidRDefault="00F865CD" w:rsidP="00F56900">
            <w:pPr>
              <w:jc w:val="center"/>
              <w:rPr>
                <w:rFonts w:ascii="Arial" w:hAnsi="Arial" w:cs="Arial"/>
                <w:sz w:val="16"/>
                <w:szCs w:val="16"/>
              </w:rPr>
            </w:pPr>
            <w:proofErr w:type="spellStart"/>
            <w:r w:rsidRPr="003735A1">
              <w:rPr>
                <w:rFonts w:ascii="Arial" w:eastAsia="Times New Roman" w:hAnsi="Arial" w:cs="Arial"/>
                <w:sz w:val="16"/>
                <w:szCs w:val="18"/>
                <w:lang w:val="sr-Cyrl-CS" w:eastAsia="sr-Latn-CS"/>
              </w:rPr>
              <w:t>Mikroekonomija</w:t>
            </w:r>
            <w:proofErr w:type="spellEnd"/>
            <w:r w:rsidRPr="003735A1">
              <w:rPr>
                <w:rFonts w:ascii="Arial" w:eastAsia="Times New Roman" w:hAnsi="Arial" w:cs="Arial"/>
                <w:sz w:val="16"/>
                <w:szCs w:val="18"/>
                <w:lang w:eastAsia="sr-Latn-CS"/>
              </w:rPr>
              <w:t xml:space="preserve"> (Microeconomics)</w:t>
            </w:r>
          </w:p>
        </w:tc>
        <w:tc>
          <w:tcPr>
            <w:tcW w:w="3645" w:type="dxa"/>
            <w:gridSpan w:val="4"/>
            <w:vAlign w:val="center"/>
          </w:tcPr>
          <w:p w:rsidR="00F865CD" w:rsidRPr="003735A1" w:rsidRDefault="00F865CD" w:rsidP="00F56900">
            <w:pPr>
              <w:jc w:val="center"/>
              <w:rPr>
                <w:rFonts w:ascii="Arial" w:hAnsi="Arial" w:cs="Arial"/>
                <w:sz w:val="16"/>
                <w:szCs w:val="16"/>
              </w:rPr>
            </w:pPr>
            <w:r w:rsidRPr="003735A1">
              <w:rPr>
                <w:rFonts w:ascii="Arial" w:eastAsia="Times New Roman" w:hAnsi="Arial" w:cs="Arial"/>
                <w:sz w:val="16"/>
                <w:szCs w:val="18"/>
                <w:lang w:val="sr-Cyrl-CS" w:eastAsia="sr-Latn-CS"/>
              </w:rPr>
              <w:t>Ekonomski fakultet, Beograd</w:t>
            </w:r>
          </w:p>
        </w:tc>
        <w:tc>
          <w:tcPr>
            <w:tcW w:w="1146" w:type="dxa"/>
            <w:vAlign w:val="center"/>
          </w:tcPr>
          <w:p w:rsidR="00F865CD" w:rsidRPr="003735A1" w:rsidRDefault="00F865CD" w:rsidP="00F56900">
            <w:pPr>
              <w:jc w:val="center"/>
              <w:rPr>
                <w:rFonts w:ascii="Arial" w:hAnsi="Arial" w:cs="Arial"/>
                <w:sz w:val="16"/>
                <w:szCs w:val="16"/>
                <w:lang w:val="en-GB"/>
              </w:rPr>
            </w:pPr>
            <w:r w:rsidRPr="003735A1">
              <w:rPr>
                <w:rFonts w:ascii="Arial" w:eastAsia="Times New Roman" w:hAnsi="Arial" w:cs="Arial"/>
                <w:sz w:val="16"/>
                <w:szCs w:val="18"/>
                <w:lang w:val="sr-Cyrl-CS" w:eastAsia="sr-Latn-CS"/>
              </w:rPr>
              <w:t>2003</w:t>
            </w:r>
          </w:p>
        </w:tc>
      </w:tr>
      <w:tr w:rsidR="00F865CD" w:rsidTr="00F56900">
        <w:tc>
          <w:tcPr>
            <w:tcW w:w="710" w:type="dxa"/>
            <w:vAlign w:val="center"/>
          </w:tcPr>
          <w:p w:rsidR="00F865CD" w:rsidRPr="003735A1" w:rsidRDefault="00F865CD" w:rsidP="00F865CD">
            <w:pPr>
              <w:pStyle w:val="ListParagraph"/>
              <w:numPr>
                <w:ilvl w:val="0"/>
                <w:numId w:val="2"/>
              </w:numPr>
              <w:jc w:val="center"/>
              <w:rPr>
                <w:rFonts w:ascii="Arial" w:hAnsi="Arial" w:cs="Arial"/>
                <w:sz w:val="16"/>
                <w:szCs w:val="16"/>
              </w:rPr>
            </w:pPr>
          </w:p>
        </w:tc>
        <w:tc>
          <w:tcPr>
            <w:tcW w:w="1694" w:type="dxa"/>
            <w:gridSpan w:val="2"/>
          </w:tcPr>
          <w:p w:rsidR="00F865CD" w:rsidRPr="003735A1" w:rsidRDefault="00F865CD" w:rsidP="00F56900">
            <w:pPr>
              <w:rPr>
                <w:rFonts w:ascii="Arial" w:eastAsia="Times New Roman" w:hAnsi="Arial" w:cs="Arial"/>
                <w:bCs/>
                <w:sz w:val="16"/>
                <w:szCs w:val="18"/>
                <w:lang w:val="sr-Latn-CS" w:eastAsia="sr-Latn-CS"/>
              </w:rPr>
            </w:pPr>
            <w:proofErr w:type="spellStart"/>
            <w:r w:rsidRPr="003735A1">
              <w:rPr>
                <w:rFonts w:ascii="Arial" w:eastAsia="Times New Roman" w:hAnsi="Arial" w:cs="Arial"/>
                <w:bCs/>
                <w:sz w:val="16"/>
                <w:szCs w:val="18"/>
                <w:lang w:val="sr-Latn-CS" w:eastAsia="sr-Latn-CS"/>
              </w:rPr>
              <w:t>Samuelson</w:t>
            </w:r>
            <w:proofErr w:type="spellEnd"/>
            <w:r w:rsidRPr="003735A1">
              <w:rPr>
                <w:rFonts w:ascii="Arial" w:eastAsia="Times New Roman" w:hAnsi="Arial" w:cs="Arial"/>
                <w:bCs/>
                <w:sz w:val="16"/>
                <w:szCs w:val="18"/>
                <w:lang w:val="sr-Latn-CS" w:eastAsia="sr-Latn-CS"/>
              </w:rPr>
              <w:t xml:space="preserve">, P. &amp; </w:t>
            </w:r>
            <w:proofErr w:type="spellStart"/>
            <w:r w:rsidRPr="003735A1">
              <w:rPr>
                <w:rFonts w:ascii="Arial" w:eastAsia="Times New Roman" w:hAnsi="Arial" w:cs="Arial"/>
                <w:bCs/>
                <w:sz w:val="16"/>
                <w:szCs w:val="18"/>
                <w:lang w:val="sr-Latn-CS" w:eastAsia="sr-Latn-CS"/>
              </w:rPr>
              <w:t>Nordhaus</w:t>
            </w:r>
            <w:proofErr w:type="spellEnd"/>
            <w:r w:rsidRPr="003735A1">
              <w:rPr>
                <w:rFonts w:ascii="Arial" w:eastAsia="Times New Roman" w:hAnsi="Arial" w:cs="Arial"/>
                <w:bCs/>
                <w:sz w:val="16"/>
                <w:szCs w:val="18"/>
                <w:lang w:val="sr-Latn-CS" w:eastAsia="sr-Latn-CS"/>
              </w:rPr>
              <w:t xml:space="preserve">,  W. </w:t>
            </w:r>
          </w:p>
        </w:tc>
        <w:tc>
          <w:tcPr>
            <w:tcW w:w="2427" w:type="dxa"/>
            <w:gridSpan w:val="3"/>
            <w:vAlign w:val="center"/>
          </w:tcPr>
          <w:p w:rsidR="00F865CD" w:rsidRPr="003735A1" w:rsidRDefault="00F865CD" w:rsidP="00F56900">
            <w:pPr>
              <w:jc w:val="center"/>
              <w:rPr>
                <w:rFonts w:ascii="Arial" w:hAnsi="Arial" w:cs="Arial"/>
                <w:sz w:val="16"/>
                <w:szCs w:val="16"/>
              </w:rPr>
            </w:pPr>
            <w:r w:rsidRPr="003735A1">
              <w:rPr>
                <w:rFonts w:ascii="Arial" w:eastAsia="Times New Roman" w:hAnsi="Arial" w:cs="Arial"/>
                <w:sz w:val="16"/>
                <w:szCs w:val="18"/>
                <w:lang w:val="sr-Latn-CS" w:eastAsia="sr-Latn-CS"/>
              </w:rPr>
              <w:t>E</w:t>
            </w:r>
            <w:proofErr w:type="spellStart"/>
            <w:r w:rsidRPr="003735A1">
              <w:rPr>
                <w:rFonts w:ascii="Arial" w:eastAsia="Times New Roman" w:hAnsi="Arial" w:cs="Arial"/>
                <w:sz w:val="16"/>
                <w:szCs w:val="18"/>
                <w:lang w:val="sr-Cyrl-CS" w:eastAsia="sr-Latn-CS"/>
              </w:rPr>
              <w:t>konomija</w:t>
            </w:r>
            <w:proofErr w:type="spellEnd"/>
            <w:r w:rsidRPr="003735A1">
              <w:rPr>
                <w:rFonts w:ascii="Arial" w:eastAsia="Times New Roman" w:hAnsi="Arial" w:cs="Arial"/>
                <w:sz w:val="16"/>
                <w:szCs w:val="18"/>
                <w:lang w:eastAsia="sr-Latn-CS"/>
              </w:rPr>
              <w:t xml:space="preserve"> (Economics)</w:t>
            </w:r>
          </w:p>
        </w:tc>
        <w:tc>
          <w:tcPr>
            <w:tcW w:w="3645" w:type="dxa"/>
            <w:gridSpan w:val="4"/>
            <w:vAlign w:val="center"/>
          </w:tcPr>
          <w:p w:rsidR="00F865CD" w:rsidRPr="003735A1" w:rsidRDefault="00F865CD" w:rsidP="00F56900">
            <w:pPr>
              <w:jc w:val="center"/>
              <w:rPr>
                <w:rFonts w:ascii="Arial" w:hAnsi="Arial" w:cs="Arial"/>
                <w:sz w:val="16"/>
                <w:szCs w:val="16"/>
                <w:lang w:val="en-GB"/>
              </w:rPr>
            </w:pPr>
            <w:proofErr w:type="spellStart"/>
            <w:r w:rsidRPr="003735A1">
              <w:rPr>
                <w:rFonts w:ascii="Arial" w:eastAsia="Times New Roman" w:hAnsi="Arial" w:cs="Arial"/>
                <w:bCs/>
                <w:sz w:val="16"/>
                <w:szCs w:val="18"/>
                <w:lang w:val="sr-Latn-CS" w:eastAsia="sr-Latn-CS"/>
              </w:rPr>
              <w:t>Mc</w:t>
            </w:r>
            <w:proofErr w:type="spellEnd"/>
            <w:r w:rsidRPr="003735A1">
              <w:rPr>
                <w:rFonts w:ascii="Arial" w:eastAsia="Times New Roman" w:hAnsi="Arial" w:cs="Arial"/>
                <w:bCs/>
                <w:sz w:val="16"/>
                <w:szCs w:val="18"/>
                <w:lang w:val="sr-Latn-CS" w:eastAsia="sr-Latn-CS"/>
              </w:rPr>
              <w:t xml:space="preserve"> </w:t>
            </w:r>
            <w:proofErr w:type="spellStart"/>
            <w:r w:rsidRPr="003735A1">
              <w:rPr>
                <w:rFonts w:ascii="Arial" w:eastAsia="Times New Roman" w:hAnsi="Arial" w:cs="Arial"/>
                <w:bCs/>
                <w:sz w:val="16"/>
                <w:szCs w:val="18"/>
                <w:lang w:val="sr-Latn-CS" w:eastAsia="sr-Latn-CS"/>
              </w:rPr>
              <w:t>Graw</w:t>
            </w:r>
            <w:proofErr w:type="spellEnd"/>
            <w:r w:rsidRPr="003735A1">
              <w:rPr>
                <w:rFonts w:ascii="Arial" w:eastAsia="Times New Roman" w:hAnsi="Arial" w:cs="Arial"/>
                <w:bCs/>
                <w:sz w:val="16"/>
                <w:szCs w:val="18"/>
                <w:lang w:val="sr-Latn-CS" w:eastAsia="sr-Latn-CS"/>
              </w:rPr>
              <w:t xml:space="preserve"> – Hill, </w:t>
            </w:r>
            <w:proofErr w:type="spellStart"/>
            <w:r w:rsidRPr="003735A1">
              <w:rPr>
                <w:rFonts w:ascii="Arial" w:eastAsia="Times New Roman" w:hAnsi="Arial" w:cs="Arial"/>
                <w:bCs/>
                <w:sz w:val="16"/>
                <w:szCs w:val="18"/>
                <w:lang w:val="sr-Latn-CS" w:eastAsia="sr-Latn-CS"/>
              </w:rPr>
              <w:t>Inc</w:t>
            </w:r>
            <w:proofErr w:type="spellEnd"/>
            <w:r w:rsidRPr="003735A1">
              <w:rPr>
                <w:rFonts w:ascii="Arial" w:eastAsia="Times New Roman" w:hAnsi="Arial" w:cs="Arial"/>
                <w:bCs/>
                <w:sz w:val="16"/>
                <w:szCs w:val="18"/>
                <w:lang w:val="sr-Latn-CS" w:eastAsia="sr-Latn-CS"/>
              </w:rPr>
              <w:t xml:space="preserve">., Mate, </w:t>
            </w:r>
            <w:r w:rsidRPr="003735A1">
              <w:rPr>
                <w:rFonts w:ascii="Arial" w:eastAsia="Times New Roman" w:hAnsi="Arial" w:cs="Arial"/>
                <w:bCs/>
                <w:sz w:val="16"/>
                <w:szCs w:val="18"/>
                <w:lang w:val="sr-Cyrl-CS" w:eastAsia="sr-Latn-CS"/>
              </w:rPr>
              <w:t>Zagreb</w:t>
            </w:r>
          </w:p>
        </w:tc>
        <w:tc>
          <w:tcPr>
            <w:tcW w:w="1146" w:type="dxa"/>
            <w:vAlign w:val="center"/>
          </w:tcPr>
          <w:p w:rsidR="00F865CD" w:rsidRPr="003735A1" w:rsidRDefault="00F865CD" w:rsidP="00F56900">
            <w:pPr>
              <w:jc w:val="center"/>
              <w:rPr>
                <w:rFonts w:ascii="Arial" w:hAnsi="Arial" w:cs="Arial"/>
                <w:sz w:val="16"/>
                <w:szCs w:val="16"/>
                <w:lang w:val="en-GB"/>
              </w:rPr>
            </w:pPr>
            <w:r w:rsidRPr="003735A1">
              <w:rPr>
                <w:rFonts w:ascii="Arial" w:eastAsia="Times New Roman" w:hAnsi="Arial" w:cs="Arial"/>
                <w:bCs/>
                <w:sz w:val="16"/>
                <w:szCs w:val="18"/>
                <w:lang w:val="sr-Latn-CS" w:eastAsia="sr-Latn-CS"/>
              </w:rPr>
              <w:t>2000</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2574D"/>
    <w:rsid w:val="004C0AD7"/>
    <w:rsid w:val="007E2923"/>
    <w:rsid w:val="00A951B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Company>Grizli777</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2015-01-22T07:35:00Z</dcterms:created>
  <dcterms:modified xsi:type="dcterms:W3CDTF">2015-01-22T07:35:00Z</dcterms:modified>
</cp:coreProperties>
</file>