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213"/>
        <w:tblW w:w="0" w:type="auto"/>
        <w:tblLook w:val="04A0"/>
      </w:tblPr>
      <w:tblGrid>
        <w:gridCol w:w="675"/>
        <w:gridCol w:w="1417"/>
        <w:gridCol w:w="284"/>
        <w:gridCol w:w="1134"/>
        <w:gridCol w:w="567"/>
        <w:gridCol w:w="734"/>
        <w:gridCol w:w="1109"/>
        <w:gridCol w:w="142"/>
        <w:gridCol w:w="1276"/>
        <w:gridCol w:w="425"/>
        <w:gridCol w:w="709"/>
        <w:gridCol w:w="1150"/>
      </w:tblGrid>
      <w:tr w:rsidR="00274F73" w:rsidTr="00274F73">
        <w:trPr>
          <w:trHeight w:val="420"/>
        </w:trPr>
        <w:tc>
          <w:tcPr>
            <w:tcW w:w="2092" w:type="dxa"/>
            <w:gridSpan w:val="2"/>
            <w:shd w:val="clear" w:color="auto" w:fill="C2D69B" w:themeFill="accent3" w:themeFillTint="99"/>
            <w:vAlign w:val="center"/>
          </w:tcPr>
          <w:p w:rsidR="00274F73" w:rsidRPr="009E2BF4" w:rsidRDefault="00274F73" w:rsidP="00274F73">
            <w:pPr>
              <w:spacing w:after="0" w:line="240" w:lineRule="auto"/>
              <w:rPr>
                <w:rFonts w:ascii="Arial" w:hAnsi="Arial" w:cs="Arial"/>
                <w:sz w:val="16"/>
                <w:szCs w:val="16"/>
              </w:rPr>
            </w:pPr>
            <w:r w:rsidRPr="009E2BF4">
              <w:rPr>
                <w:rFonts w:ascii="Arial" w:hAnsi="Arial" w:cs="Arial"/>
                <w:sz w:val="16"/>
                <w:szCs w:val="16"/>
              </w:rPr>
              <w:t>Course:</w:t>
            </w:r>
          </w:p>
        </w:tc>
        <w:tc>
          <w:tcPr>
            <w:tcW w:w="7530" w:type="dxa"/>
            <w:gridSpan w:val="10"/>
            <w:vMerge w:val="restart"/>
            <w:vAlign w:val="center"/>
          </w:tcPr>
          <w:p w:rsidR="00274F73" w:rsidRPr="009E2BF4" w:rsidRDefault="00274F73" w:rsidP="00274F73">
            <w:pPr>
              <w:spacing w:after="0" w:line="240" w:lineRule="auto"/>
              <w:jc w:val="center"/>
              <w:rPr>
                <w:rFonts w:ascii="Arial" w:hAnsi="Arial" w:cs="Arial"/>
                <w:i/>
                <w:sz w:val="18"/>
                <w:szCs w:val="18"/>
              </w:rPr>
            </w:pPr>
            <w:r w:rsidRPr="00EA0130">
              <w:rPr>
                <w:b/>
                <w:sz w:val="18"/>
                <w:szCs w:val="18"/>
                <w:lang w:val="sr-Cyrl-CS"/>
              </w:rPr>
              <w:t>Management of sustainable agricultural development</w:t>
            </w:r>
          </w:p>
        </w:tc>
      </w:tr>
      <w:tr w:rsidR="00274F73" w:rsidTr="00274F73">
        <w:tc>
          <w:tcPr>
            <w:tcW w:w="2092" w:type="dxa"/>
            <w:gridSpan w:val="2"/>
            <w:vAlign w:val="center"/>
          </w:tcPr>
          <w:p w:rsidR="00274F73" w:rsidRPr="009E2BF4" w:rsidRDefault="00274F73" w:rsidP="00274F73">
            <w:pPr>
              <w:spacing w:after="0" w:line="240" w:lineRule="auto"/>
              <w:rPr>
                <w:rFonts w:ascii="Arial" w:hAnsi="Arial" w:cs="Arial"/>
                <w:sz w:val="16"/>
                <w:szCs w:val="16"/>
              </w:rPr>
            </w:pPr>
            <w:r w:rsidRPr="009E2BF4">
              <w:rPr>
                <w:rFonts w:ascii="Arial" w:hAnsi="Arial" w:cs="Arial"/>
                <w:sz w:val="16"/>
                <w:szCs w:val="16"/>
              </w:rPr>
              <w:t>Course id:</w:t>
            </w:r>
          </w:p>
        </w:tc>
        <w:tc>
          <w:tcPr>
            <w:tcW w:w="7530" w:type="dxa"/>
            <w:gridSpan w:val="10"/>
            <w:vMerge/>
          </w:tcPr>
          <w:p w:rsidR="00274F73" w:rsidRDefault="00274F73" w:rsidP="00274F73">
            <w:pPr>
              <w:spacing w:after="0" w:line="240" w:lineRule="auto"/>
            </w:pPr>
          </w:p>
        </w:tc>
      </w:tr>
      <w:tr w:rsidR="00274F73" w:rsidTr="00274F73">
        <w:tc>
          <w:tcPr>
            <w:tcW w:w="2092" w:type="dxa"/>
            <w:gridSpan w:val="2"/>
            <w:vAlign w:val="center"/>
          </w:tcPr>
          <w:p w:rsidR="00274F73" w:rsidRPr="009E2BF4" w:rsidRDefault="00274F73" w:rsidP="00274F73">
            <w:pPr>
              <w:spacing w:after="0" w:line="240" w:lineRule="auto"/>
              <w:rPr>
                <w:rFonts w:ascii="Arial" w:hAnsi="Arial" w:cs="Arial"/>
                <w:sz w:val="16"/>
                <w:szCs w:val="16"/>
              </w:rPr>
            </w:pPr>
            <w:r w:rsidRPr="009E2BF4">
              <w:rPr>
                <w:rFonts w:ascii="Arial" w:hAnsi="Arial" w:cs="Arial"/>
                <w:sz w:val="16"/>
                <w:szCs w:val="16"/>
              </w:rPr>
              <w:t>Number of ECTS:</w:t>
            </w:r>
            <w:r>
              <w:rPr>
                <w:rFonts w:ascii="Arial" w:hAnsi="Arial" w:cs="Arial"/>
                <w:sz w:val="16"/>
                <w:szCs w:val="16"/>
              </w:rPr>
              <w:t>5</w:t>
            </w:r>
          </w:p>
        </w:tc>
        <w:tc>
          <w:tcPr>
            <w:tcW w:w="7530" w:type="dxa"/>
            <w:gridSpan w:val="10"/>
            <w:vMerge/>
          </w:tcPr>
          <w:p w:rsidR="00274F73" w:rsidRDefault="00274F73" w:rsidP="00274F73">
            <w:pPr>
              <w:spacing w:after="0" w:line="240" w:lineRule="auto"/>
            </w:pPr>
          </w:p>
        </w:tc>
      </w:tr>
      <w:tr w:rsidR="00274F73" w:rsidTr="00274F73">
        <w:tc>
          <w:tcPr>
            <w:tcW w:w="2092" w:type="dxa"/>
            <w:gridSpan w:val="2"/>
            <w:vAlign w:val="center"/>
          </w:tcPr>
          <w:p w:rsidR="00274F73" w:rsidRPr="009E2BF4" w:rsidRDefault="00274F73" w:rsidP="00274F73">
            <w:pPr>
              <w:spacing w:after="0" w:line="240" w:lineRule="auto"/>
              <w:rPr>
                <w:rFonts w:ascii="Arial" w:hAnsi="Arial" w:cs="Arial"/>
                <w:sz w:val="16"/>
                <w:szCs w:val="16"/>
              </w:rPr>
            </w:pPr>
            <w:r w:rsidRPr="009E2BF4">
              <w:rPr>
                <w:rFonts w:ascii="Arial" w:hAnsi="Arial" w:cs="Arial"/>
                <w:sz w:val="16"/>
                <w:szCs w:val="16"/>
              </w:rPr>
              <w:t>Teacher:</w:t>
            </w:r>
          </w:p>
        </w:tc>
        <w:tc>
          <w:tcPr>
            <w:tcW w:w="7530" w:type="dxa"/>
            <w:gridSpan w:val="10"/>
          </w:tcPr>
          <w:p w:rsidR="00274F73" w:rsidRPr="00404306" w:rsidRDefault="00274F73" w:rsidP="00274F73">
            <w:pPr>
              <w:spacing w:after="0" w:line="240" w:lineRule="auto"/>
            </w:pPr>
            <w:r>
              <w:t>Vesna Rodić</w:t>
            </w:r>
          </w:p>
        </w:tc>
      </w:tr>
      <w:tr w:rsidR="00274F73" w:rsidTr="00274F73">
        <w:tc>
          <w:tcPr>
            <w:tcW w:w="2092" w:type="dxa"/>
            <w:gridSpan w:val="2"/>
            <w:tcBorders>
              <w:bottom w:val="single" w:sz="4" w:space="0" w:color="auto"/>
            </w:tcBorders>
            <w:vAlign w:val="center"/>
          </w:tcPr>
          <w:p w:rsidR="00274F73" w:rsidRPr="009E2BF4" w:rsidRDefault="00274F73" w:rsidP="00274F73">
            <w:pPr>
              <w:spacing w:after="0" w:line="240" w:lineRule="auto"/>
              <w:rPr>
                <w:rFonts w:ascii="Arial" w:hAnsi="Arial" w:cs="Arial"/>
                <w:sz w:val="16"/>
                <w:szCs w:val="16"/>
              </w:rPr>
            </w:pPr>
            <w:r w:rsidRPr="009E2BF4">
              <w:rPr>
                <w:rFonts w:ascii="Arial" w:hAnsi="Arial" w:cs="Arial"/>
                <w:sz w:val="16"/>
                <w:szCs w:val="16"/>
              </w:rPr>
              <w:t>Course status</w:t>
            </w:r>
          </w:p>
        </w:tc>
        <w:tc>
          <w:tcPr>
            <w:tcW w:w="7530" w:type="dxa"/>
            <w:gridSpan w:val="10"/>
            <w:tcBorders>
              <w:bottom w:val="single" w:sz="4" w:space="0" w:color="auto"/>
            </w:tcBorders>
          </w:tcPr>
          <w:p w:rsidR="00274F73" w:rsidRDefault="00274F73" w:rsidP="00274F73">
            <w:pPr>
              <w:spacing w:after="0" w:line="240" w:lineRule="auto"/>
            </w:pPr>
            <w:r>
              <w:rPr>
                <w:sz w:val="18"/>
                <w:szCs w:val="18"/>
              </w:rPr>
              <w:t>Elective</w:t>
            </w:r>
          </w:p>
        </w:tc>
      </w:tr>
      <w:tr w:rsidR="00274F73" w:rsidTr="00274F73">
        <w:trPr>
          <w:trHeight w:val="227"/>
        </w:trPr>
        <w:tc>
          <w:tcPr>
            <w:tcW w:w="9622" w:type="dxa"/>
            <w:gridSpan w:val="12"/>
            <w:tcBorders>
              <w:bottom w:val="single" w:sz="4" w:space="0" w:color="auto"/>
            </w:tcBorders>
            <w:shd w:val="clear" w:color="auto" w:fill="C2D69B" w:themeFill="accent3" w:themeFillTint="99"/>
            <w:vAlign w:val="center"/>
          </w:tcPr>
          <w:p w:rsidR="00274F73" w:rsidRPr="009E2BF4" w:rsidRDefault="00274F73" w:rsidP="00274F73">
            <w:pPr>
              <w:spacing w:after="0" w:line="240" w:lineRule="auto"/>
              <w:rPr>
                <w:rFonts w:ascii="Arial" w:hAnsi="Arial" w:cs="Arial"/>
                <w:sz w:val="16"/>
                <w:szCs w:val="16"/>
              </w:rPr>
            </w:pPr>
            <w:r w:rsidRPr="009E2BF4">
              <w:rPr>
                <w:rFonts w:ascii="Arial" w:hAnsi="Arial" w:cs="Arial"/>
                <w:sz w:val="16"/>
                <w:szCs w:val="16"/>
              </w:rPr>
              <w:t>Number of active teaching classes (weekly)</w:t>
            </w:r>
          </w:p>
        </w:tc>
      </w:tr>
      <w:tr w:rsidR="00274F73" w:rsidTr="00274F73">
        <w:trPr>
          <w:trHeight w:val="227"/>
        </w:trPr>
        <w:tc>
          <w:tcPr>
            <w:tcW w:w="2092" w:type="dxa"/>
            <w:gridSpan w:val="2"/>
            <w:tcBorders>
              <w:bottom w:val="single" w:sz="4" w:space="0" w:color="auto"/>
            </w:tcBorders>
            <w:shd w:val="clear" w:color="auto" w:fill="auto"/>
            <w:vAlign w:val="center"/>
          </w:tcPr>
          <w:p w:rsidR="00274F73" w:rsidRPr="009E2BF4" w:rsidRDefault="00274F73" w:rsidP="00274F73">
            <w:pPr>
              <w:spacing w:after="0" w:line="240" w:lineRule="auto"/>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:60</w:t>
            </w:r>
          </w:p>
        </w:tc>
        <w:tc>
          <w:tcPr>
            <w:tcW w:w="1985" w:type="dxa"/>
            <w:gridSpan w:val="3"/>
            <w:tcBorders>
              <w:bottom w:val="single" w:sz="4" w:space="0" w:color="auto"/>
            </w:tcBorders>
            <w:shd w:val="clear" w:color="auto" w:fill="auto"/>
            <w:vAlign w:val="center"/>
          </w:tcPr>
          <w:p w:rsidR="00274F73" w:rsidRPr="009E2BF4" w:rsidRDefault="00274F73" w:rsidP="00274F73">
            <w:pPr>
              <w:spacing w:after="0" w:line="240" w:lineRule="auto"/>
              <w:jc w:val="center"/>
              <w:rPr>
                <w:rFonts w:ascii="Arial" w:hAnsi="Arial" w:cs="Arial"/>
                <w:sz w:val="16"/>
                <w:szCs w:val="16"/>
              </w:rPr>
            </w:pPr>
            <w:r>
              <w:rPr>
                <w:rFonts w:ascii="Arial" w:hAnsi="Arial" w:cs="Arial"/>
                <w:sz w:val="16"/>
                <w:szCs w:val="16"/>
              </w:rPr>
              <w:t>Tutorials:30</w:t>
            </w:r>
          </w:p>
        </w:tc>
        <w:tc>
          <w:tcPr>
            <w:tcW w:w="1843" w:type="dxa"/>
            <w:gridSpan w:val="2"/>
            <w:tcBorders>
              <w:bottom w:val="single" w:sz="4" w:space="0" w:color="auto"/>
            </w:tcBorders>
            <w:shd w:val="clear" w:color="auto" w:fill="auto"/>
            <w:vAlign w:val="center"/>
          </w:tcPr>
          <w:p w:rsidR="00274F73" w:rsidRPr="009E2BF4" w:rsidRDefault="00274F73" w:rsidP="00274F73">
            <w:pPr>
              <w:spacing w:after="0" w:line="240" w:lineRule="auto"/>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 30</w:t>
            </w:r>
          </w:p>
        </w:tc>
        <w:tc>
          <w:tcPr>
            <w:tcW w:w="1843" w:type="dxa"/>
            <w:gridSpan w:val="3"/>
            <w:tcBorders>
              <w:bottom w:val="single" w:sz="4" w:space="0" w:color="auto"/>
            </w:tcBorders>
            <w:shd w:val="clear" w:color="auto" w:fill="auto"/>
            <w:vAlign w:val="center"/>
          </w:tcPr>
          <w:p w:rsidR="00274F73" w:rsidRPr="009E2BF4" w:rsidRDefault="00274F73" w:rsidP="00274F73">
            <w:pPr>
              <w:spacing w:after="0" w:line="240" w:lineRule="auto"/>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274F73" w:rsidRPr="009E2BF4" w:rsidRDefault="00274F73" w:rsidP="00274F73">
            <w:pPr>
              <w:spacing w:after="0" w:line="240" w:lineRule="auto"/>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274F73" w:rsidRPr="005E42D1" w:rsidTr="00274F73">
        <w:tc>
          <w:tcPr>
            <w:tcW w:w="2092" w:type="dxa"/>
            <w:gridSpan w:val="2"/>
            <w:shd w:val="clear" w:color="auto" w:fill="C2D69B" w:themeFill="accent3" w:themeFillTint="99"/>
            <w:vAlign w:val="center"/>
          </w:tcPr>
          <w:p w:rsidR="00274F73" w:rsidRPr="005E42D1" w:rsidRDefault="00274F73" w:rsidP="00274F73">
            <w:pPr>
              <w:spacing w:after="0" w:line="240" w:lineRule="auto"/>
              <w:rPr>
                <w:rFonts w:ascii="Arial" w:hAnsi="Arial" w:cs="Arial"/>
                <w:sz w:val="16"/>
                <w:szCs w:val="16"/>
              </w:rPr>
            </w:pPr>
            <w:r w:rsidRPr="005E42D1">
              <w:rPr>
                <w:rFonts w:ascii="Arial" w:hAnsi="Arial" w:cs="Arial"/>
                <w:sz w:val="16"/>
                <w:szCs w:val="16"/>
              </w:rPr>
              <w:t>Precondition courses</w:t>
            </w:r>
          </w:p>
        </w:tc>
        <w:tc>
          <w:tcPr>
            <w:tcW w:w="7530" w:type="dxa"/>
            <w:gridSpan w:val="10"/>
            <w:shd w:val="clear" w:color="auto" w:fill="C2D69B" w:themeFill="accent3" w:themeFillTint="99"/>
            <w:vAlign w:val="center"/>
          </w:tcPr>
          <w:p w:rsidR="00274F73" w:rsidRPr="005E42D1" w:rsidRDefault="00274F73" w:rsidP="00274F73">
            <w:pPr>
              <w:spacing w:after="0" w:line="240" w:lineRule="auto"/>
              <w:rPr>
                <w:rFonts w:ascii="Arial" w:hAnsi="Arial" w:cs="Arial"/>
                <w:sz w:val="16"/>
                <w:szCs w:val="16"/>
              </w:rPr>
            </w:pPr>
            <w:r>
              <w:rPr>
                <w:rFonts w:ascii="Arial" w:hAnsi="Arial" w:cs="Arial"/>
                <w:sz w:val="16"/>
                <w:szCs w:val="16"/>
              </w:rPr>
              <w:t>None</w:t>
            </w:r>
          </w:p>
        </w:tc>
      </w:tr>
      <w:tr w:rsidR="00274F73" w:rsidTr="00274F73">
        <w:tc>
          <w:tcPr>
            <w:tcW w:w="9622" w:type="dxa"/>
            <w:gridSpan w:val="12"/>
          </w:tcPr>
          <w:p w:rsidR="00274F73" w:rsidRPr="00274F73" w:rsidRDefault="00274F73" w:rsidP="00274F73">
            <w:pPr>
              <w:pStyle w:val="ListParagraph"/>
              <w:numPr>
                <w:ilvl w:val="0"/>
                <w:numId w:val="1"/>
              </w:numPr>
              <w:spacing w:after="0" w:line="240" w:lineRule="auto"/>
              <w:ind w:left="284" w:hanging="284"/>
              <w:rPr>
                <w:rFonts w:ascii="Arial" w:hAnsi="Arial" w:cs="Arial"/>
                <w:sz w:val="18"/>
                <w:szCs w:val="18"/>
              </w:rPr>
            </w:pPr>
            <w:r w:rsidRPr="00274F73">
              <w:rPr>
                <w:rFonts w:ascii="Arial" w:hAnsi="Arial" w:cs="Arial"/>
                <w:sz w:val="18"/>
                <w:szCs w:val="18"/>
              </w:rPr>
              <w:t>Educational goal</w:t>
            </w:r>
          </w:p>
          <w:p w:rsidR="00274F73" w:rsidRPr="00274F73" w:rsidRDefault="00274F73" w:rsidP="00274F73">
            <w:pPr>
              <w:spacing w:after="0" w:line="240" w:lineRule="auto"/>
              <w:rPr>
                <w:sz w:val="18"/>
                <w:szCs w:val="18"/>
              </w:rPr>
            </w:pPr>
            <w:r w:rsidRPr="00274F73">
              <w:rPr>
                <w:sz w:val="18"/>
                <w:szCs w:val="18"/>
              </w:rPr>
              <w:t>The aim of this course is to highlight the unsustainability of conventional agricultural production and the necessity of sustainable production forms, and to introduce students to the types of measuring of sustainable development and instruments used to secure sustainability.</w:t>
            </w:r>
          </w:p>
        </w:tc>
      </w:tr>
      <w:tr w:rsidR="00274F73" w:rsidTr="00274F73">
        <w:tc>
          <w:tcPr>
            <w:tcW w:w="9622" w:type="dxa"/>
            <w:gridSpan w:val="12"/>
          </w:tcPr>
          <w:p w:rsidR="00274F73" w:rsidRPr="00274F73" w:rsidRDefault="00274F73" w:rsidP="00274F73">
            <w:pPr>
              <w:pStyle w:val="ListParagraph"/>
              <w:numPr>
                <w:ilvl w:val="0"/>
                <w:numId w:val="1"/>
              </w:numPr>
              <w:spacing w:after="0" w:line="240" w:lineRule="auto"/>
              <w:ind w:left="284" w:hanging="284"/>
              <w:rPr>
                <w:rFonts w:ascii="Arial" w:hAnsi="Arial" w:cs="Arial"/>
                <w:sz w:val="18"/>
                <w:szCs w:val="18"/>
              </w:rPr>
            </w:pPr>
            <w:r w:rsidRPr="00274F73">
              <w:rPr>
                <w:rFonts w:ascii="Arial" w:hAnsi="Arial" w:cs="Arial"/>
                <w:sz w:val="18"/>
                <w:szCs w:val="18"/>
              </w:rPr>
              <w:t>Educational outcomes</w:t>
            </w:r>
          </w:p>
          <w:p w:rsidR="00274F73" w:rsidRPr="00274F73" w:rsidRDefault="00274F73" w:rsidP="00274F73">
            <w:pPr>
              <w:spacing w:after="0" w:line="240" w:lineRule="auto"/>
              <w:rPr>
                <w:sz w:val="18"/>
                <w:szCs w:val="18"/>
              </w:rPr>
            </w:pPr>
            <w:r w:rsidRPr="00274F73">
              <w:rPr>
                <w:sz w:val="18"/>
                <w:szCs w:val="18"/>
              </w:rPr>
              <w:t xml:space="preserve">Upon the completion of this course, students will realize the unsustainability of contemporary agricultural production and be capable of holistically viewing the interdependence of agriculture and environment. They will be able to organize production I accordance with the sustainable development principles. </w:t>
            </w:r>
          </w:p>
        </w:tc>
      </w:tr>
      <w:tr w:rsidR="00274F73" w:rsidTr="00274F73">
        <w:tc>
          <w:tcPr>
            <w:tcW w:w="9622" w:type="dxa"/>
            <w:gridSpan w:val="12"/>
          </w:tcPr>
          <w:p w:rsidR="00274F73" w:rsidRPr="00274F73" w:rsidRDefault="00274F73" w:rsidP="00274F73">
            <w:pPr>
              <w:pStyle w:val="ListParagraph"/>
              <w:numPr>
                <w:ilvl w:val="0"/>
                <w:numId w:val="1"/>
              </w:numPr>
              <w:spacing w:after="0" w:line="240" w:lineRule="auto"/>
              <w:ind w:left="284" w:hanging="284"/>
              <w:rPr>
                <w:rFonts w:ascii="Arial" w:hAnsi="Arial" w:cs="Arial"/>
                <w:sz w:val="18"/>
                <w:szCs w:val="18"/>
              </w:rPr>
            </w:pPr>
            <w:r w:rsidRPr="00274F73">
              <w:rPr>
                <w:rFonts w:ascii="Arial" w:hAnsi="Arial" w:cs="Arial"/>
                <w:sz w:val="18"/>
                <w:szCs w:val="18"/>
              </w:rPr>
              <w:t>Course content</w:t>
            </w:r>
          </w:p>
          <w:p w:rsidR="00274F73" w:rsidRPr="00274F73" w:rsidRDefault="00274F73" w:rsidP="00274F73">
            <w:pPr>
              <w:spacing w:after="0" w:line="240" w:lineRule="auto"/>
              <w:rPr>
                <w:sz w:val="18"/>
                <w:szCs w:val="18"/>
              </w:rPr>
            </w:pPr>
            <w:r w:rsidRPr="00274F73">
              <w:rPr>
                <w:i/>
                <w:sz w:val="18"/>
                <w:szCs w:val="18"/>
              </w:rPr>
              <w:t xml:space="preserve">Theoretical Instruction </w:t>
            </w:r>
            <w:r w:rsidRPr="00274F73">
              <w:rPr>
                <w:rFonts w:ascii="Calibri" w:eastAsia="Calibri" w:hAnsi="Calibri" w:cs="Times New Roman"/>
                <w:sz w:val="18"/>
                <w:szCs w:val="18"/>
              </w:rPr>
              <w:t xml:space="preserve">Introduction; The concept of sustainable development; Sustainability principles; Economic, ecological and social dimension of sustainable development; Sustainable management of resources; Measuring sustainable development; Pressure-state-response model (PSR); DPSIR model; National account model;  Sustainable development indicators;Traditional economic indicators vs. sustainability indicators; Sector indicators; External costs in agriculture; Sustainable agricultural systems; Economic and environmental efficiency of sustainable agricultural systems; Sustainable development restrictions in Serbia; Importance of diversification for the sustainability of rural areas; Institutional framework; The role of the state; Extension service role; Local community role; Instruments securing sustainability; Monitoring and evaluating sustainable development of agriculture.  </w:t>
            </w:r>
          </w:p>
          <w:p w:rsidR="00274F73" w:rsidRPr="00274F73" w:rsidRDefault="00274F73" w:rsidP="00274F73">
            <w:pPr>
              <w:spacing w:after="0" w:line="240" w:lineRule="auto"/>
              <w:rPr>
                <w:i/>
                <w:sz w:val="18"/>
                <w:szCs w:val="18"/>
              </w:rPr>
            </w:pPr>
            <w:r w:rsidRPr="00274F73">
              <w:rPr>
                <w:i/>
                <w:sz w:val="18"/>
                <w:szCs w:val="18"/>
              </w:rPr>
              <w:t>Practical Instruction</w:t>
            </w:r>
            <w:r w:rsidRPr="00274F73">
              <w:rPr>
                <w:rFonts w:ascii="Calibri" w:eastAsia="Calibri" w:hAnsi="Calibri" w:cs="Times New Roman"/>
                <w:sz w:val="18"/>
                <w:szCs w:val="18"/>
              </w:rPr>
              <w:t xml:space="preserve"> Tutorials are in accordance with the lectures. They include seminar work, active participation in discussions on selected topics, group work and workshops. Topics are adjusted to students’ interests and correspond to the current issues in this field.</w:t>
            </w:r>
          </w:p>
        </w:tc>
      </w:tr>
      <w:tr w:rsidR="00274F73" w:rsidTr="00274F73">
        <w:tc>
          <w:tcPr>
            <w:tcW w:w="9622" w:type="dxa"/>
            <w:gridSpan w:val="12"/>
            <w:tcBorders>
              <w:bottom w:val="single" w:sz="4" w:space="0" w:color="auto"/>
            </w:tcBorders>
          </w:tcPr>
          <w:p w:rsidR="00274F73" w:rsidRPr="00274F73" w:rsidRDefault="00274F73" w:rsidP="00274F73">
            <w:pPr>
              <w:pStyle w:val="ListParagraph"/>
              <w:numPr>
                <w:ilvl w:val="0"/>
                <w:numId w:val="1"/>
              </w:numPr>
              <w:spacing w:after="0" w:line="240" w:lineRule="auto"/>
              <w:ind w:left="284" w:hanging="284"/>
              <w:rPr>
                <w:rFonts w:ascii="Arial" w:hAnsi="Arial" w:cs="Arial"/>
                <w:sz w:val="14"/>
                <w:szCs w:val="16"/>
              </w:rPr>
            </w:pPr>
            <w:r w:rsidRPr="00274F73">
              <w:rPr>
                <w:rFonts w:ascii="Arial" w:hAnsi="Arial" w:cs="Arial"/>
                <w:sz w:val="14"/>
                <w:szCs w:val="16"/>
              </w:rPr>
              <w:t>Teaching methods</w:t>
            </w:r>
          </w:p>
          <w:p w:rsidR="00274F73" w:rsidRPr="00274F73" w:rsidRDefault="00274F73" w:rsidP="00274F73">
            <w:pPr>
              <w:spacing w:after="0" w:line="240" w:lineRule="auto"/>
              <w:rPr>
                <w:rFonts w:ascii="Arial" w:hAnsi="Arial" w:cs="Arial"/>
                <w:sz w:val="14"/>
                <w:szCs w:val="16"/>
              </w:rPr>
            </w:pPr>
          </w:p>
          <w:p w:rsidR="00274F73" w:rsidRPr="00274F73" w:rsidRDefault="00274F73" w:rsidP="00274F73">
            <w:pPr>
              <w:spacing w:after="0" w:line="240" w:lineRule="auto"/>
              <w:rPr>
                <w:sz w:val="14"/>
                <w:szCs w:val="18"/>
              </w:rPr>
            </w:pPr>
            <w:r w:rsidRPr="00274F73">
              <w:rPr>
                <w:rFonts w:ascii="Arial" w:hAnsi="Arial" w:cs="Arial"/>
                <w:sz w:val="14"/>
                <w:szCs w:val="16"/>
              </w:rPr>
              <w:t>Lectures, seminar papers, discussion groups, mentoring, field practice (visiting institutions or economic entities).</w:t>
            </w:r>
          </w:p>
        </w:tc>
      </w:tr>
      <w:tr w:rsidR="00274F73" w:rsidTr="00274F73">
        <w:tc>
          <w:tcPr>
            <w:tcW w:w="9622" w:type="dxa"/>
            <w:gridSpan w:val="12"/>
            <w:tcBorders>
              <w:bottom w:val="single" w:sz="4" w:space="0" w:color="auto"/>
            </w:tcBorders>
            <w:shd w:val="clear" w:color="auto" w:fill="C2D69B" w:themeFill="accent3" w:themeFillTint="99"/>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Knowledge evaluation (maximum 100 points)</w:t>
            </w:r>
          </w:p>
        </w:tc>
      </w:tr>
      <w:tr w:rsidR="00274F73" w:rsidTr="00274F73">
        <w:tc>
          <w:tcPr>
            <w:tcW w:w="2376" w:type="dxa"/>
            <w:gridSpan w:val="3"/>
            <w:shd w:val="clear" w:color="auto" w:fill="auto"/>
            <w:vAlign w:val="center"/>
          </w:tcPr>
          <w:p w:rsidR="00274F73" w:rsidRPr="00274F73" w:rsidRDefault="00274F73" w:rsidP="00274F73">
            <w:pPr>
              <w:spacing w:after="0" w:line="240" w:lineRule="auto"/>
              <w:rPr>
                <w:rFonts w:ascii="Arial" w:hAnsi="Arial" w:cs="Arial"/>
                <w:sz w:val="14"/>
                <w:szCs w:val="16"/>
              </w:rPr>
            </w:pPr>
            <w:r w:rsidRPr="00274F73">
              <w:rPr>
                <w:rFonts w:ascii="Arial" w:hAnsi="Arial" w:cs="Arial"/>
                <w:sz w:val="14"/>
                <w:szCs w:val="16"/>
              </w:rPr>
              <w:t>Pre-examination obligations</w:t>
            </w:r>
          </w:p>
        </w:tc>
        <w:tc>
          <w:tcPr>
            <w:tcW w:w="1134" w:type="dxa"/>
            <w:shd w:val="clear" w:color="auto" w:fill="auto"/>
            <w:vAlign w:val="center"/>
          </w:tcPr>
          <w:p w:rsidR="00274F73" w:rsidRPr="00274F73" w:rsidRDefault="00274F73" w:rsidP="00274F73">
            <w:pPr>
              <w:spacing w:after="0" w:line="240" w:lineRule="auto"/>
              <w:rPr>
                <w:rFonts w:ascii="Arial" w:hAnsi="Arial" w:cs="Arial"/>
                <w:sz w:val="14"/>
                <w:szCs w:val="16"/>
              </w:rPr>
            </w:pPr>
            <w:r w:rsidRPr="00274F73">
              <w:rPr>
                <w:rFonts w:ascii="Arial" w:hAnsi="Arial" w:cs="Arial"/>
                <w:sz w:val="14"/>
                <w:szCs w:val="16"/>
              </w:rPr>
              <w:t>Mandatory</w:t>
            </w:r>
          </w:p>
        </w:tc>
        <w:tc>
          <w:tcPr>
            <w:tcW w:w="1301" w:type="dxa"/>
            <w:gridSpan w:val="2"/>
            <w:shd w:val="clear" w:color="auto" w:fill="auto"/>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Points</w:t>
            </w:r>
          </w:p>
        </w:tc>
        <w:tc>
          <w:tcPr>
            <w:tcW w:w="2527" w:type="dxa"/>
            <w:gridSpan w:val="3"/>
            <w:shd w:val="clear" w:color="auto" w:fill="auto"/>
            <w:vAlign w:val="center"/>
          </w:tcPr>
          <w:p w:rsidR="00274F73" w:rsidRPr="005E42D1" w:rsidRDefault="00274F73" w:rsidP="00274F73">
            <w:pPr>
              <w:spacing w:after="0" w:line="240" w:lineRule="auto"/>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274F73" w:rsidRPr="005E42D1" w:rsidRDefault="00274F73" w:rsidP="00274F73">
            <w:pPr>
              <w:spacing w:after="0" w:line="240" w:lineRule="auto"/>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274F73" w:rsidRPr="005E42D1" w:rsidRDefault="00274F73" w:rsidP="00274F73">
            <w:pPr>
              <w:spacing w:after="0" w:line="240" w:lineRule="auto"/>
              <w:jc w:val="center"/>
              <w:rPr>
                <w:rFonts w:ascii="Arial" w:hAnsi="Arial" w:cs="Arial"/>
                <w:sz w:val="16"/>
                <w:szCs w:val="16"/>
              </w:rPr>
            </w:pPr>
            <w:r>
              <w:rPr>
                <w:rFonts w:ascii="Arial" w:hAnsi="Arial" w:cs="Arial"/>
                <w:sz w:val="16"/>
                <w:szCs w:val="16"/>
              </w:rPr>
              <w:t>Points</w:t>
            </w:r>
          </w:p>
        </w:tc>
      </w:tr>
      <w:tr w:rsidR="00274F73" w:rsidTr="00274F73">
        <w:tc>
          <w:tcPr>
            <w:tcW w:w="2376" w:type="dxa"/>
            <w:gridSpan w:val="3"/>
            <w:shd w:val="clear" w:color="auto" w:fill="auto"/>
            <w:vAlign w:val="center"/>
          </w:tcPr>
          <w:p w:rsidR="00274F73" w:rsidRPr="00274F73" w:rsidRDefault="00274F73" w:rsidP="00274F73">
            <w:pPr>
              <w:spacing w:after="0" w:line="240" w:lineRule="auto"/>
              <w:rPr>
                <w:sz w:val="14"/>
                <w:szCs w:val="18"/>
              </w:rPr>
            </w:pPr>
            <w:r w:rsidRPr="00274F73">
              <w:rPr>
                <w:sz w:val="14"/>
                <w:szCs w:val="18"/>
              </w:rPr>
              <w:t>Lecture attendance</w:t>
            </w:r>
          </w:p>
        </w:tc>
        <w:tc>
          <w:tcPr>
            <w:tcW w:w="1134" w:type="dxa"/>
            <w:shd w:val="clear" w:color="auto" w:fill="auto"/>
            <w:vAlign w:val="center"/>
          </w:tcPr>
          <w:p w:rsidR="00274F73" w:rsidRPr="00274F73" w:rsidRDefault="00274F73" w:rsidP="00274F73">
            <w:pPr>
              <w:spacing w:after="0" w:line="240" w:lineRule="auto"/>
              <w:jc w:val="center"/>
              <w:rPr>
                <w:sz w:val="14"/>
              </w:rPr>
            </w:pPr>
            <w:r w:rsidRPr="00274F73">
              <w:rPr>
                <w:rFonts w:ascii="Arial" w:hAnsi="Arial" w:cs="Arial"/>
                <w:sz w:val="14"/>
                <w:szCs w:val="16"/>
              </w:rPr>
              <w:t>Yes/No</w:t>
            </w:r>
          </w:p>
        </w:tc>
        <w:tc>
          <w:tcPr>
            <w:tcW w:w="1301" w:type="dxa"/>
            <w:gridSpan w:val="2"/>
          </w:tcPr>
          <w:p w:rsidR="00274F73" w:rsidRPr="00274F73" w:rsidRDefault="00274F73" w:rsidP="00274F73">
            <w:pPr>
              <w:spacing w:after="0" w:line="240" w:lineRule="auto"/>
              <w:jc w:val="center"/>
              <w:rPr>
                <w:b/>
                <w:bCs/>
                <w:sz w:val="14"/>
                <w:szCs w:val="18"/>
                <w:lang w:val="sr-Cyrl-CS"/>
              </w:rPr>
            </w:pPr>
            <w:r w:rsidRPr="00274F73">
              <w:rPr>
                <w:b/>
                <w:bCs/>
                <w:sz w:val="14"/>
                <w:szCs w:val="18"/>
                <w:lang w:val="sr-Cyrl-CS"/>
              </w:rPr>
              <w:t>10</w:t>
            </w:r>
          </w:p>
        </w:tc>
        <w:tc>
          <w:tcPr>
            <w:tcW w:w="2527" w:type="dxa"/>
            <w:gridSpan w:val="3"/>
            <w:shd w:val="clear" w:color="auto" w:fill="auto"/>
            <w:vAlign w:val="center"/>
          </w:tcPr>
          <w:p w:rsidR="00274F73" w:rsidRDefault="00274F73" w:rsidP="00274F73">
            <w:pPr>
              <w:spacing w:after="0" w:line="240" w:lineRule="auto"/>
              <w:jc w:val="center"/>
              <w:rPr>
                <w:rFonts w:ascii="Arial" w:hAnsi="Arial" w:cs="Arial"/>
                <w:i/>
                <w:sz w:val="14"/>
                <w:szCs w:val="14"/>
              </w:rPr>
            </w:pPr>
            <w:r>
              <w:rPr>
                <w:rFonts w:ascii="Arial" w:hAnsi="Arial" w:cs="Arial"/>
                <w:i/>
                <w:sz w:val="14"/>
                <w:szCs w:val="14"/>
              </w:rPr>
              <w:t>Written exam</w:t>
            </w:r>
          </w:p>
          <w:p w:rsidR="00274F73" w:rsidRPr="00D02E1F" w:rsidRDefault="00274F73" w:rsidP="00274F73">
            <w:pPr>
              <w:spacing w:after="0" w:line="240" w:lineRule="auto"/>
              <w:jc w:val="center"/>
              <w:rPr>
                <w:rFonts w:ascii="Arial" w:hAnsi="Arial" w:cs="Arial"/>
                <w:i/>
                <w:sz w:val="14"/>
                <w:szCs w:val="14"/>
              </w:rPr>
            </w:pPr>
            <w:r>
              <w:rPr>
                <w:rFonts w:ascii="Arial" w:hAnsi="Arial" w:cs="Arial"/>
                <w:i/>
                <w:sz w:val="14"/>
                <w:szCs w:val="14"/>
              </w:rPr>
              <w:t>Oral exam</w:t>
            </w:r>
          </w:p>
        </w:tc>
        <w:tc>
          <w:tcPr>
            <w:tcW w:w="1134" w:type="dxa"/>
            <w:gridSpan w:val="2"/>
            <w:shd w:val="clear" w:color="auto" w:fill="auto"/>
            <w:vAlign w:val="center"/>
          </w:tcPr>
          <w:p w:rsidR="00274F73" w:rsidRPr="005E42D1" w:rsidRDefault="00274F73" w:rsidP="00274F73">
            <w:pPr>
              <w:spacing w:after="0" w:line="240" w:lineRule="auto"/>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274F73" w:rsidRDefault="00274F73" w:rsidP="00274F73">
            <w:pPr>
              <w:spacing w:after="0" w:line="240" w:lineRule="auto"/>
              <w:jc w:val="center"/>
              <w:rPr>
                <w:rFonts w:ascii="Arial" w:hAnsi="Arial" w:cs="Arial"/>
                <w:sz w:val="16"/>
                <w:szCs w:val="16"/>
              </w:rPr>
            </w:pPr>
            <w:r>
              <w:rPr>
                <w:rFonts w:ascii="Arial" w:hAnsi="Arial" w:cs="Arial"/>
                <w:sz w:val="16"/>
                <w:szCs w:val="16"/>
              </w:rPr>
              <w:t>10</w:t>
            </w:r>
          </w:p>
          <w:p w:rsidR="00274F73" w:rsidRPr="005E42D1" w:rsidRDefault="00274F73" w:rsidP="00274F73">
            <w:pPr>
              <w:spacing w:after="0" w:line="240" w:lineRule="auto"/>
              <w:jc w:val="center"/>
              <w:rPr>
                <w:rFonts w:ascii="Arial" w:hAnsi="Arial" w:cs="Arial"/>
                <w:sz w:val="16"/>
                <w:szCs w:val="16"/>
              </w:rPr>
            </w:pPr>
            <w:r>
              <w:rPr>
                <w:rFonts w:ascii="Arial" w:hAnsi="Arial" w:cs="Arial"/>
                <w:sz w:val="16"/>
                <w:szCs w:val="16"/>
              </w:rPr>
              <w:t>30</w:t>
            </w:r>
          </w:p>
        </w:tc>
      </w:tr>
      <w:tr w:rsidR="00274F73" w:rsidTr="00274F73">
        <w:tc>
          <w:tcPr>
            <w:tcW w:w="2376" w:type="dxa"/>
            <w:gridSpan w:val="3"/>
            <w:shd w:val="clear" w:color="auto" w:fill="auto"/>
            <w:vAlign w:val="center"/>
          </w:tcPr>
          <w:p w:rsidR="00274F73" w:rsidRPr="00274F73" w:rsidRDefault="00274F73" w:rsidP="00274F73">
            <w:pPr>
              <w:spacing w:after="0" w:line="240" w:lineRule="auto"/>
              <w:rPr>
                <w:sz w:val="14"/>
                <w:szCs w:val="18"/>
              </w:rPr>
            </w:pPr>
            <w:r w:rsidRPr="00274F73">
              <w:rPr>
                <w:sz w:val="14"/>
                <w:szCs w:val="18"/>
              </w:rPr>
              <w:t>Tutorials</w:t>
            </w:r>
          </w:p>
        </w:tc>
        <w:tc>
          <w:tcPr>
            <w:tcW w:w="1134" w:type="dxa"/>
            <w:shd w:val="clear" w:color="auto" w:fill="auto"/>
            <w:vAlign w:val="center"/>
          </w:tcPr>
          <w:p w:rsidR="00274F73" w:rsidRPr="00274F73" w:rsidRDefault="00274F73" w:rsidP="00274F73">
            <w:pPr>
              <w:spacing w:after="0" w:line="240" w:lineRule="auto"/>
              <w:jc w:val="center"/>
              <w:rPr>
                <w:sz w:val="14"/>
              </w:rPr>
            </w:pPr>
            <w:r w:rsidRPr="00274F73">
              <w:rPr>
                <w:rFonts w:ascii="Arial" w:hAnsi="Arial" w:cs="Arial"/>
                <w:sz w:val="14"/>
                <w:szCs w:val="16"/>
              </w:rPr>
              <w:t>Yes/No</w:t>
            </w:r>
          </w:p>
        </w:tc>
        <w:tc>
          <w:tcPr>
            <w:tcW w:w="1301" w:type="dxa"/>
            <w:gridSpan w:val="2"/>
          </w:tcPr>
          <w:p w:rsidR="00274F73" w:rsidRPr="00274F73" w:rsidRDefault="00274F73" w:rsidP="00274F73">
            <w:pPr>
              <w:spacing w:after="0" w:line="240" w:lineRule="auto"/>
              <w:jc w:val="center"/>
              <w:rPr>
                <w:b/>
                <w:bCs/>
                <w:sz w:val="14"/>
                <w:szCs w:val="18"/>
                <w:lang w:val="sr-Cyrl-CS"/>
              </w:rPr>
            </w:pPr>
            <w:r w:rsidRPr="00274F73">
              <w:rPr>
                <w:b/>
                <w:bCs/>
                <w:sz w:val="14"/>
                <w:szCs w:val="18"/>
                <w:lang w:val="sr-Cyrl-CS"/>
              </w:rPr>
              <w:t>10</w:t>
            </w:r>
          </w:p>
        </w:tc>
        <w:tc>
          <w:tcPr>
            <w:tcW w:w="4811" w:type="dxa"/>
            <w:gridSpan w:val="6"/>
            <w:vMerge w:val="restart"/>
            <w:shd w:val="clear" w:color="auto" w:fill="auto"/>
            <w:vAlign w:val="center"/>
          </w:tcPr>
          <w:p w:rsidR="00274F73" w:rsidRPr="005E42D1" w:rsidRDefault="00274F73" w:rsidP="00274F73">
            <w:pPr>
              <w:spacing w:after="0" w:line="240" w:lineRule="auto"/>
              <w:jc w:val="center"/>
              <w:rPr>
                <w:rFonts w:ascii="Arial" w:hAnsi="Arial" w:cs="Arial"/>
                <w:sz w:val="16"/>
                <w:szCs w:val="16"/>
              </w:rPr>
            </w:pPr>
          </w:p>
        </w:tc>
      </w:tr>
      <w:tr w:rsidR="00274F73" w:rsidTr="00274F73">
        <w:tc>
          <w:tcPr>
            <w:tcW w:w="2376" w:type="dxa"/>
            <w:gridSpan w:val="3"/>
            <w:shd w:val="clear" w:color="auto" w:fill="auto"/>
            <w:vAlign w:val="center"/>
          </w:tcPr>
          <w:p w:rsidR="00274F73" w:rsidRPr="00274F73" w:rsidRDefault="00274F73" w:rsidP="00274F73">
            <w:pPr>
              <w:spacing w:after="0" w:line="240" w:lineRule="auto"/>
              <w:rPr>
                <w:sz w:val="14"/>
                <w:szCs w:val="18"/>
              </w:rPr>
            </w:pPr>
            <w:r w:rsidRPr="00274F73">
              <w:rPr>
                <w:sz w:val="14"/>
                <w:szCs w:val="18"/>
              </w:rPr>
              <w:t>Seminar papers</w:t>
            </w:r>
          </w:p>
        </w:tc>
        <w:tc>
          <w:tcPr>
            <w:tcW w:w="1134" w:type="dxa"/>
            <w:shd w:val="clear" w:color="auto" w:fill="auto"/>
            <w:vAlign w:val="center"/>
          </w:tcPr>
          <w:p w:rsidR="00274F73" w:rsidRPr="00274F73" w:rsidRDefault="00274F73" w:rsidP="00274F73">
            <w:pPr>
              <w:spacing w:after="0" w:line="240" w:lineRule="auto"/>
              <w:jc w:val="center"/>
              <w:rPr>
                <w:sz w:val="14"/>
              </w:rPr>
            </w:pPr>
            <w:r w:rsidRPr="00274F73">
              <w:rPr>
                <w:rFonts w:ascii="Arial" w:hAnsi="Arial" w:cs="Arial"/>
                <w:sz w:val="14"/>
                <w:szCs w:val="16"/>
              </w:rPr>
              <w:t>Yes/No</w:t>
            </w:r>
          </w:p>
        </w:tc>
        <w:tc>
          <w:tcPr>
            <w:tcW w:w="1301" w:type="dxa"/>
            <w:gridSpan w:val="2"/>
          </w:tcPr>
          <w:p w:rsidR="00274F73" w:rsidRPr="00274F73" w:rsidRDefault="00274F73" w:rsidP="00274F73">
            <w:pPr>
              <w:spacing w:after="0" w:line="240" w:lineRule="auto"/>
              <w:jc w:val="center"/>
              <w:rPr>
                <w:b/>
                <w:bCs/>
                <w:sz w:val="14"/>
                <w:szCs w:val="18"/>
                <w:lang w:val="sr-Cyrl-CS"/>
              </w:rPr>
            </w:pPr>
            <w:r w:rsidRPr="00274F73">
              <w:rPr>
                <w:b/>
                <w:bCs/>
                <w:sz w:val="14"/>
                <w:szCs w:val="18"/>
                <w:lang w:val="sr-Cyrl-CS"/>
              </w:rPr>
              <w:t>40</w:t>
            </w:r>
          </w:p>
        </w:tc>
        <w:tc>
          <w:tcPr>
            <w:tcW w:w="4811" w:type="dxa"/>
            <w:gridSpan w:val="6"/>
            <w:vMerge/>
            <w:shd w:val="clear" w:color="auto" w:fill="auto"/>
            <w:vAlign w:val="center"/>
          </w:tcPr>
          <w:p w:rsidR="00274F73" w:rsidRPr="005E42D1" w:rsidRDefault="00274F73" w:rsidP="00274F73">
            <w:pPr>
              <w:spacing w:after="0" w:line="240" w:lineRule="auto"/>
              <w:jc w:val="center"/>
              <w:rPr>
                <w:rFonts w:ascii="Arial" w:hAnsi="Arial" w:cs="Arial"/>
                <w:sz w:val="16"/>
                <w:szCs w:val="16"/>
              </w:rPr>
            </w:pPr>
          </w:p>
        </w:tc>
      </w:tr>
      <w:tr w:rsidR="00274F73" w:rsidTr="00274F73">
        <w:tc>
          <w:tcPr>
            <w:tcW w:w="2376" w:type="dxa"/>
            <w:gridSpan w:val="3"/>
            <w:tcBorders>
              <w:bottom w:val="single" w:sz="4" w:space="0" w:color="auto"/>
            </w:tcBorders>
            <w:shd w:val="clear" w:color="auto" w:fill="auto"/>
            <w:vAlign w:val="center"/>
          </w:tcPr>
          <w:p w:rsidR="00274F73" w:rsidRPr="00274F73" w:rsidRDefault="00274F73" w:rsidP="00274F73">
            <w:pPr>
              <w:spacing w:after="0" w:line="240" w:lineRule="auto"/>
              <w:rPr>
                <w:rFonts w:ascii="Arial" w:hAnsi="Arial" w:cs="Arial"/>
                <w:sz w:val="14"/>
                <w:szCs w:val="16"/>
              </w:rPr>
            </w:pPr>
          </w:p>
        </w:tc>
        <w:tc>
          <w:tcPr>
            <w:tcW w:w="1134" w:type="dxa"/>
            <w:tcBorders>
              <w:bottom w:val="single" w:sz="4" w:space="0" w:color="auto"/>
            </w:tcBorders>
            <w:shd w:val="clear" w:color="auto" w:fill="auto"/>
            <w:vAlign w:val="center"/>
          </w:tcPr>
          <w:p w:rsidR="00274F73" w:rsidRPr="00274F73" w:rsidRDefault="00274F73" w:rsidP="00274F73">
            <w:pPr>
              <w:spacing w:after="0" w:line="240" w:lineRule="auto"/>
              <w:jc w:val="center"/>
              <w:rPr>
                <w:sz w:val="14"/>
              </w:rPr>
            </w:pPr>
            <w:r w:rsidRPr="00274F73">
              <w:rPr>
                <w:rFonts w:ascii="Arial" w:hAnsi="Arial" w:cs="Arial"/>
                <w:sz w:val="14"/>
                <w:szCs w:val="16"/>
              </w:rPr>
              <w:t>Yes/No</w:t>
            </w:r>
          </w:p>
        </w:tc>
        <w:tc>
          <w:tcPr>
            <w:tcW w:w="1301" w:type="dxa"/>
            <w:gridSpan w:val="2"/>
            <w:tcBorders>
              <w:bottom w:val="single" w:sz="4" w:space="0" w:color="auto"/>
            </w:tcBorders>
            <w:shd w:val="clear" w:color="auto" w:fill="auto"/>
            <w:vAlign w:val="center"/>
          </w:tcPr>
          <w:p w:rsidR="00274F73" w:rsidRPr="00274F73" w:rsidRDefault="00274F73" w:rsidP="00274F73">
            <w:pPr>
              <w:spacing w:after="0" w:line="240" w:lineRule="auto"/>
              <w:jc w:val="center"/>
              <w:rPr>
                <w:rFonts w:ascii="Arial" w:hAnsi="Arial" w:cs="Arial"/>
                <w:sz w:val="14"/>
                <w:szCs w:val="16"/>
              </w:rPr>
            </w:pPr>
          </w:p>
        </w:tc>
        <w:tc>
          <w:tcPr>
            <w:tcW w:w="4811" w:type="dxa"/>
            <w:gridSpan w:val="6"/>
            <w:vMerge/>
            <w:tcBorders>
              <w:bottom w:val="single" w:sz="4" w:space="0" w:color="auto"/>
            </w:tcBorders>
            <w:shd w:val="clear" w:color="auto" w:fill="auto"/>
            <w:vAlign w:val="center"/>
          </w:tcPr>
          <w:p w:rsidR="00274F73" w:rsidRPr="005E42D1" w:rsidRDefault="00274F73" w:rsidP="00274F73">
            <w:pPr>
              <w:spacing w:after="0" w:line="240" w:lineRule="auto"/>
              <w:jc w:val="center"/>
              <w:rPr>
                <w:rFonts w:ascii="Arial" w:hAnsi="Arial" w:cs="Arial"/>
                <w:sz w:val="16"/>
                <w:szCs w:val="16"/>
              </w:rPr>
            </w:pPr>
          </w:p>
        </w:tc>
      </w:tr>
      <w:tr w:rsidR="00274F73" w:rsidTr="00274F73">
        <w:tc>
          <w:tcPr>
            <w:tcW w:w="9622" w:type="dxa"/>
            <w:gridSpan w:val="12"/>
            <w:shd w:val="clear" w:color="auto" w:fill="C2D69B" w:themeFill="accent3" w:themeFillTint="99"/>
            <w:vAlign w:val="center"/>
          </w:tcPr>
          <w:p w:rsidR="00274F73" w:rsidRPr="00D02E1F" w:rsidRDefault="00274F73" w:rsidP="00274F73">
            <w:pPr>
              <w:spacing w:after="0" w:line="240" w:lineRule="auto"/>
              <w:jc w:val="center"/>
              <w:rPr>
                <w:rFonts w:ascii="Arial" w:hAnsi="Arial" w:cs="Arial"/>
                <w:sz w:val="16"/>
                <w:szCs w:val="16"/>
              </w:rPr>
            </w:pPr>
            <w:r w:rsidRPr="00D02E1F">
              <w:rPr>
                <w:rFonts w:ascii="Arial" w:hAnsi="Arial" w:cs="Arial"/>
                <w:sz w:val="16"/>
                <w:szCs w:val="16"/>
              </w:rPr>
              <w:t xml:space="preserve">Literature </w:t>
            </w:r>
          </w:p>
        </w:tc>
      </w:tr>
      <w:tr w:rsidR="00274F73" w:rsidTr="00274F73">
        <w:tc>
          <w:tcPr>
            <w:tcW w:w="675" w:type="dxa"/>
            <w:vAlign w:val="center"/>
          </w:tcPr>
          <w:p w:rsidR="00274F73" w:rsidRPr="00D02E1F" w:rsidRDefault="00274F73" w:rsidP="00274F73">
            <w:pPr>
              <w:spacing w:after="0" w:line="240" w:lineRule="auto"/>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274F73" w:rsidRPr="00D02E1F" w:rsidRDefault="00274F73" w:rsidP="00274F73">
            <w:pPr>
              <w:spacing w:after="0" w:line="240" w:lineRule="auto"/>
              <w:jc w:val="center"/>
              <w:rPr>
                <w:rFonts w:ascii="Arial" w:hAnsi="Arial" w:cs="Arial"/>
                <w:sz w:val="16"/>
                <w:szCs w:val="16"/>
              </w:rPr>
            </w:pPr>
            <w:r w:rsidRPr="00D02E1F">
              <w:rPr>
                <w:rFonts w:ascii="Arial" w:hAnsi="Arial" w:cs="Arial"/>
                <w:sz w:val="16"/>
                <w:szCs w:val="16"/>
              </w:rPr>
              <w:t>Author</w:t>
            </w:r>
          </w:p>
        </w:tc>
        <w:tc>
          <w:tcPr>
            <w:tcW w:w="3686" w:type="dxa"/>
            <w:gridSpan w:val="5"/>
            <w:vAlign w:val="center"/>
          </w:tcPr>
          <w:p w:rsidR="00274F73" w:rsidRPr="00D02E1F" w:rsidRDefault="00274F73" w:rsidP="00274F73">
            <w:pPr>
              <w:spacing w:after="0" w:line="240" w:lineRule="auto"/>
              <w:jc w:val="center"/>
              <w:rPr>
                <w:rFonts w:ascii="Arial" w:hAnsi="Arial" w:cs="Arial"/>
                <w:sz w:val="16"/>
                <w:szCs w:val="16"/>
              </w:rPr>
            </w:pPr>
            <w:r w:rsidRPr="00D02E1F">
              <w:rPr>
                <w:rFonts w:ascii="Arial" w:hAnsi="Arial" w:cs="Arial"/>
                <w:sz w:val="16"/>
                <w:szCs w:val="16"/>
              </w:rPr>
              <w:t>Title</w:t>
            </w:r>
          </w:p>
        </w:tc>
        <w:tc>
          <w:tcPr>
            <w:tcW w:w="2410" w:type="dxa"/>
            <w:gridSpan w:val="3"/>
            <w:vAlign w:val="center"/>
          </w:tcPr>
          <w:p w:rsidR="00274F73" w:rsidRPr="00D02E1F" w:rsidRDefault="00274F73" w:rsidP="00274F73">
            <w:pPr>
              <w:spacing w:after="0" w:line="240" w:lineRule="auto"/>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274F73" w:rsidRPr="00D02E1F" w:rsidRDefault="00274F73" w:rsidP="00274F73">
            <w:pPr>
              <w:spacing w:after="0" w:line="240" w:lineRule="auto"/>
              <w:jc w:val="center"/>
              <w:rPr>
                <w:rFonts w:ascii="Arial" w:hAnsi="Arial" w:cs="Arial"/>
                <w:sz w:val="16"/>
                <w:szCs w:val="16"/>
              </w:rPr>
            </w:pPr>
            <w:r w:rsidRPr="00D02E1F">
              <w:rPr>
                <w:rFonts w:ascii="Arial" w:hAnsi="Arial" w:cs="Arial"/>
                <w:sz w:val="16"/>
                <w:szCs w:val="16"/>
              </w:rPr>
              <w:t>Year</w:t>
            </w:r>
          </w:p>
        </w:tc>
      </w:tr>
      <w:tr w:rsidR="00274F73" w:rsidTr="00274F73">
        <w:tc>
          <w:tcPr>
            <w:tcW w:w="675" w:type="dxa"/>
            <w:vAlign w:val="center"/>
          </w:tcPr>
          <w:p w:rsidR="00274F73" w:rsidRPr="00274F73" w:rsidRDefault="00274F73" w:rsidP="00274F73">
            <w:pPr>
              <w:pStyle w:val="ListParagraph"/>
              <w:numPr>
                <w:ilvl w:val="0"/>
                <w:numId w:val="2"/>
              </w:numPr>
              <w:spacing w:after="0" w:line="240" w:lineRule="auto"/>
              <w:jc w:val="center"/>
              <w:rPr>
                <w:rFonts w:ascii="Arial" w:hAnsi="Arial" w:cs="Arial"/>
                <w:sz w:val="14"/>
                <w:szCs w:val="16"/>
              </w:rPr>
            </w:pPr>
          </w:p>
        </w:tc>
        <w:tc>
          <w:tcPr>
            <w:tcW w:w="1701" w:type="dxa"/>
            <w:gridSpan w:val="2"/>
            <w:vAlign w:val="center"/>
          </w:tcPr>
          <w:p w:rsidR="00274F73" w:rsidRPr="00274F73" w:rsidRDefault="00274F73" w:rsidP="00274F73">
            <w:pPr>
              <w:spacing w:after="0" w:line="240" w:lineRule="auto"/>
              <w:jc w:val="center"/>
              <w:rPr>
                <w:rFonts w:ascii="Arial" w:eastAsia="Calibri" w:hAnsi="Arial" w:cs="Arial"/>
                <w:sz w:val="14"/>
                <w:szCs w:val="16"/>
              </w:rPr>
            </w:pPr>
            <w:r w:rsidRPr="00274F73">
              <w:rPr>
                <w:rFonts w:ascii="Arial" w:eastAsia="Calibri" w:hAnsi="Arial" w:cs="Arial"/>
                <w:sz w:val="14"/>
                <w:szCs w:val="16"/>
              </w:rPr>
              <w:t>DŽonatan H.</w:t>
            </w:r>
          </w:p>
        </w:tc>
        <w:tc>
          <w:tcPr>
            <w:tcW w:w="3686" w:type="dxa"/>
            <w:gridSpan w:val="5"/>
            <w:vAlign w:val="center"/>
          </w:tcPr>
          <w:p w:rsidR="00274F73" w:rsidRPr="00274F73" w:rsidRDefault="00274F73" w:rsidP="00274F73">
            <w:pPr>
              <w:spacing w:after="0" w:line="240" w:lineRule="auto"/>
              <w:jc w:val="center"/>
              <w:rPr>
                <w:rFonts w:ascii="Arial" w:eastAsia="Calibri" w:hAnsi="Arial" w:cs="Arial"/>
                <w:sz w:val="14"/>
                <w:szCs w:val="16"/>
              </w:rPr>
            </w:pPr>
            <w:r w:rsidRPr="00274F73">
              <w:rPr>
                <w:rFonts w:ascii="Arial" w:eastAsia="Calibri" w:hAnsi="Arial" w:cs="Arial"/>
                <w:sz w:val="14"/>
                <w:szCs w:val="16"/>
              </w:rPr>
              <w:t>Ekonomija životne sredine i prirodnih resursa: savremeni pristup</w:t>
            </w:r>
          </w:p>
        </w:tc>
        <w:tc>
          <w:tcPr>
            <w:tcW w:w="2410" w:type="dxa"/>
            <w:gridSpan w:val="3"/>
            <w:vAlign w:val="center"/>
          </w:tcPr>
          <w:p w:rsidR="00274F73" w:rsidRPr="00274F73" w:rsidRDefault="00274F73" w:rsidP="00274F73">
            <w:pPr>
              <w:spacing w:after="0" w:line="240" w:lineRule="auto"/>
              <w:jc w:val="center"/>
              <w:rPr>
                <w:rFonts w:ascii="Arial" w:eastAsia="Calibri" w:hAnsi="Arial" w:cs="Arial"/>
                <w:sz w:val="14"/>
                <w:szCs w:val="16"/>
              </w:rPr>
            </w:pPr>
            <w:r w:rsidRPr="00274F73">
              <w:rPr>
                <w:rFonts w:ascii="Arial" w:eastAsia="Calibri" w:hAnsi="Arial" w:cs="Arial"/>
                <w:sz w:val="14"/>
                <w:szCs w:val="16"/>
              </w:rPr>
              <w:t>Datastatus, Beograd</w:t>
            </w:r>
          </w:p>
        </w:tc>
        <w:tc>
          <w:tcPr>
            <w:tcW w:w="1150" w:type="dxa"/>
            <w:vAlign w:val="center"/>
          </w:tcPr>
          <w:p w:rsidR="00274F73" w:rsidRPr="00274F73" w:rsidRDefault="00274F73" w:rsidP="00274F73">
            <w:pPr>
              <w:spacing w:after="0" w:line="240" w:lineRule="auto"/>
              <w:jc w:val="center"/>
              <w:rPr>
                <w:rFonts w:ascii="Arial" w:eastAsia="Calibri" w:hAnsi="Arial" w:cs="Arial"/>
                <w:sz w:val="14"/>
                <w:szCs w:val="16"/>
              </w:rPr>
            </w:pPr>
            <w:r w:rsidRPr="00274F73">
              <w:rPr>
                <w:rFonts w:ascii="Arial" w:eastAsia="Calibri" w:hAnsi="Arial" w:cs="Arial"/>
                <w:sz w:val="14"/>
                <w:szCs w:val="16"/>
              </w:rPr>
              <w:t>2009</w:t>
            </w:r>
          </w:p>
        </w:tc>
      </w:tr>
      <w:tr w:rsidR="00274F73" w:rsidTr="00274F73">
        <w:tc>
          <w:tcPr>
            <w:tcW w:w="675" w:type="dxa"/>
            <w:vAlign w:val="center"/>
          </w:tcPr>
          <w:p w:rsidR="00274F73" w:rsidRPr="00274F73" w:rsidRDefault="00274F73" w:rsidP="00274F73">
            <w:pPr>
              <w:pStyle w:val="ListParagraph"/>
              <w:numPr>
                <w:ilvl w:val="0"/>
                <w:numId w:val="2"/>
              </w:numPr>
              <w:spacing w:after="0" w:line="240" w:lineRule="auto"/>
              <w:jc w:val="center"/>
              <w:rPr>
                <w:rFonts w:ascii="Arial" w:hAnsi="Arial" w:cs="Arial"/>
                <w:sz w:val="14"/>
                <w:szCs w:val="16"/>
              </w:rPr>
            </w:pPr>
          </w:p>
        </w:tc>
        <w:tc>
          <w:tcPr>
            <w:tcW w:w="1701" w:type="dxa"/>
            <w:gridSpan w:val="2"/>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Pretty, J.</w:t>
            </w:r>
          </w:p>
        </w:tc>
        <w:tc>
          <w:tcPr>
            <w:tcW w:w="3686" w:type="dxa"/>
            <w:gridSpan w:val="5"/>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The Еаrthscan Reader in Sustainable Agriculture</w:t>
            </w:r>
          </w:p>
        </w:tc>
        <w:tc>
          <w:tcPr>
            <w:tcW w:w="2410" w:type="dxa"/>
            <w:gridSpan w:val="3"/>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National Academies Press, Earthscan, Јames and James</w:t>
            </w:r>
          </w:p>
        </w:tc>
        <w:tc>
          <w:tcPr>
            <w:tcW w:w="1150" w:type="dxa"/>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2005</w:t>
            </w:r>
          </w:p>
        </w:tc>
      </w:tr>
      <w:tr w:rsidR="00274F73" w:rsidTr="00274F73">
        <w:tc>
          <w:tcPr>
            <w:tcW w:w="675" w:type="dxa"/>
            <w:vAlign w:val="center"/>
          </w:tcPr>
          <w:p w:rsidR="00274F73" w:rsidRPr="00274F73" w:rsidRDefault="00274F73" w:rsidP="00274F73">
            <w:pPr>
              <w:pStyle w:val="ListParagraph"/>
              <w:numPr>
                <w:ilvl w:val="0"/>
                <w:numId w:val="2"/>
              </w:numPr>
              <w:spacing w:after="0" w:line="240" w:lineRule="auto"/>
              <w:jc w:val="center"/>
              <w:rPr>
                <w:rFonts w:ascii="Arial" w:hAnsi="Arial" w:cs="Arial"/>
                <w:sz w:val="14"/>
                <w:szCs w:val="16"/>
              </w:rPr>
            </w:pPr>
          </w:p>
        </w:tc>
        <w:tc>
          <w:tcPr>
            <w:tcW w:w="1701" w:type="dxa"/>
            <w:gridSpan w:val="2"/>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Tietenberg, T.</w:t>
            </w:r>
          </w:p>
        </w:tc>
        <w:tc>
          <w:tcPr>
            <w:tcW w:w="3686" w:type="dxa"/>
            <w:gridSpan w:val="5"/>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Environmental Economics and Policy</w:t>
            </w:r>
          </w:p>
        </w:tc>
        <w:tc>
          <w:tcPr>
            <w:tcW w:w="2410" w:type="dxa"/>
            <w:gridSpan w:val="3"/>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Pearson, Addison Wesley</w:t>
            </w:r>
          </w:p>
        </w:tc>
        <w:tc>
          <w:tcPr>
            <w:tcW w:w="1150" w:type="dxa"/>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2004</w:t>
            </w:r>
          </w:p>
        </w:tc>
      </w:tr>
      <w:tr w:rsidR="00274F73" w:rsidTr="00274F73">
        <w:tc>
          <w:tcPr>
            <w:tcW w:w="675" w:type="dxa"/>
            <w:vAlign w:val="center"/>
          </w:tcPr>
          <w:p w:rsidR="00274F73" w:rsidRPr="00274F73" w:rsidRDefault="00274F73" w:rsidP="00274F73">
            <w:pPr>
              <w:pStyle w:val="ListParagraph"/>
              <w:numPr>
                <w:ilvl w:val="0"/>
                <w:numId w:val="2"/>
              </w:numPr>
              <w:spacing w:after="0" w:line="240" w:lineRule="auto"/>
              <w:jc w:val="center"/>
              <w:rPr>
                <w:rFonts w:ascii="Arial" w:hAnsi="Arial" w:cs="Arial"/>
                <w:sz w:val="14"/>
                <w:szCs w:val="16"/>
              </w:rPr>
            </w:pPr>
          </w:p>
        </w:tc>
        <w:tc>
          <w:tcPr>
            <w:tcW w:w="1701" w:type="dxa"/>
            <w:gridSpan w:val="2"/>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Vujošević, M., Filipović, M</w:t>
            </w:r>
          </w:p>
        </w:tc>
        <w:tc>
          <w:tcPr>
            <w:tcW w:w="3686" w:type="dxa"/>
            <w:gridSpan w:val="5"/>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Održivi razvoj u SCG: Institucionalno prilagođavanje rešenjima i praksi u EU</w:t>
            </w:r>
          </w:p>
        </w:tc>
        <w:tc>
          <w:tcPr>
            <w:tcW w:w="2410" w:type="dxa"/>
            <w:gridSpan w:val="3"/>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Ekonomski fakultet, Beograd</w:t>
            </w:r>
          </w:p>
        </w:tc>
        <w:tc>
          <w:tcPr>
            <w:tcW w:w="1150" w:type="dxa"/>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2006</w:t>
            </w:r>
          </w:p>
        </w:tc>
      </w:tr>
      <w:tr w:rsidR="00274F73" w:rsidTr="00274F73">
        <w:tc>
          <w:tcPr>
            <w:tcW w:w="675" w:type="dxa"/>
            <w:vAlign w:val="center"/>
          </w:tcPr>
          <w:p w:rsidR="00274F73" w:rsidRPr="00274F73" w:rsidRDefault="00274F73" w:rsidP="00274F73">
            <w:pPr>
              <w:pStyle w:val="ListParagraph"/>
              <w:numPr>
                <w:ilvl w:val="0"/>
                <w:numId w:val="2"/>
              </w:numPr>
              <w:spacing w:after="0" w:line="240" w:lineRule="auto"/>
              <w:jc w:val="center"/>
              <w:rPr>
                <w:rFonts w:ascii="Arial" w:hAnsi="Arial" w:cs="Arial"/>
                <w:sz w:val="14"/>
                <w:szCs w:val="16"/>
              </w:rPr>
            </w:pPr>
          </w:p>
        </w:tc>
        <w:tc>
          <w:tcPr>
            <w:tcW w:w="1701" w:type="dxa"/>
            <w:gridSpan w:val="2"/>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Munitlak Ivanović,O.</w:t>
            </w:r>
          </w:p>
        </w:tc>
        <w:tc>
          <w:tcPr>
            <w:tcW w:w="3686" w:type="dxa"/>
            <w:gridSpan w:val="5"/>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Ekološki aspekti održivog razvoja – međunarodna i regionalna komparacija, doktorska disertacija</w:t>
            </w:r>
          </w:p>
        </w:tc>
        <w:tc>
          <w:tcPr>
            <w:tcW w:w="2410" w:type="dxa"/>
            <w:gridSpan w:val="3"/>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 xml:space="preserve">Ekonomski fakultet Subotica   </w:t>
            </w:r>
          </w:p>
        </w:tc>
        <w:tc>
          <w:tcPr>
            <w:tcW w:w="1150" w:type="dxa"/>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2006</w:t>
            </w:r>
          </w:p>
        </w:tc>
      </w:tr>
      <w:tr w:rsidR="00274F73" w:rsidTr="00274F73">
        <w:tc>
          <w:tcPr>
            <w:tcW w:w="675" w:type="dxa"/>
            <w:vAlign w:val="center"/>
          </w:tcPr>
          <w:p w:rsidR="00274F73" w:rsidRPr="00274F73" w:rsidRDefault="00274F73" w:rsidP="00274F73">
            <w:pPr>
              <w:pStyle w:val="ListParagraph"/>
              <w:numPr>
                <w:ilvl w:val="0"/>
                <w:numId w:val="2"/>
              </w:numPr>
              <w:spacing w:after="0" w:line="240" w:lineRule="auto"/>
              <w:jc w:val="center"/>
              <w:rPr>
                <w:rFonts w:ascii="Arial" w:hAnsi="Arial" w:cs="Arial"/>
                <w:sz w:val="14"/>
                <w:szCs w:val="16"/>
              </w:rPr>
            </w:pPr>
          </w:p>
        </w:tc>
        <w:tc>
          <w:tcPr>
            <w:tcW w:w="1701" w:type="dxa"/>
            <w:gridSpan w:val="2"/>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Baćanović, D.</w:t>
            </w:r>
          </w:p>
        </w:tc>
        <w:tc>
          <w:tcPr>
            <w:tcW w:w="3686" w:type="dxa"/>
            <w:gridSpan w:val="5"/>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Indikatori održivog razvoja i procena nivoa održivosti razvoja AP Vojvodine, doktorska disertacija</w:t>
            </w:r>
          </w:p>
        </w:tc>
        <w:tc>
          <w:tcPr>
            <w:tcW w:w="2410" w:type="dxa"/>
            <w:gridSpan w:val="3"/>
            <w:vAlign w:val="center"/>
          </w:tcPr>
          <w:p w:rsidR="00274F73" w:rsidRPr="00274F73" w:rsidRDefault="00274F73" w:rsidP="00274F73">
            <w:pPr>
              <w:spacing w:after="0" w:line="240" w:lineRule="auto"/>
              <w:jc w:val="center"/>
              <w:rPr>
                <w:rFonts w:ascii="Arial" w:hAnsi="Arial" w:cs="Arial"/>
                <w:sz w:val="14"/>
                <w:szCs w:val="16"/>
                <w:lang w:val="de-DE"/>
              </w:rPr>
            </w:pPr>
            <w:r w:rsidRPr="00274F73">
              <w:rPr>
                <w:rFonts w:ascii="Arial" w:hAnsi="Arial" w:cs="Arial"/>
                <w:sz w:val="14"/>
                <w:szCs w:val="16"/>
                <w:lang w:val="de-DE"/>
              </w:rPr>
              <w:t>ACIMSI, Univerzitet u Novom Sadu</w:t>
            </w:r>
          </w:p>
        </w:tc>
        <w:tc>
          <w:tcPr>
            <w:tcW w:w="1150" w:type="dxa"/>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2005</w:t>
            </w:r>
          </w:p>
        </w:tc>
      </w:tr>
      <w:tr w:rsidR="00274F73" w:rsidTr="00274F73">
        <w:tc>
          <w:tcPr>
            <w:tcW w:w="675" w:type="dxa"/>
            <w:vAlign w:val="center"/>
          </w:tcPr>
          <w:p w:rsidR="00274F73" w:rsidRPr="00274F73" w:rsidRDefault="00274F73" w:rsidP="00274F73">
            <w:pPr>
              <w:pStyle w:val="ListParagraph"/>
              <w:numPr>
                <w:ilvl w:val="0"/>
                <w:numId w:val="2"/>
              </w:numPr>
              <w:spacing w:after="0" w:line="240" w:lineRule="auto"/>
              <w:jc w:val="center"/>
              <w:rPr>
                <w:rFonts w:ascii="Arial" w:hAnsi="Arial" w:cs="Arial"/>
                <w:sz w:val="14"/>
                <w:szCs w:val="16"/>
              </w:rPr>
            </w:pPr>
          </w:p>
        </w:tc>
        <w:tc>
          <w:tcPr>
            <w:tcW w:w="1701" w:type="dxa"/>
            <w:gridSpan w:val="2"/>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OECD</w:t>
            </w:r>
          </w:p>
        </w:tc>
        <w:tc>
          <w:tcPr>
            <w:tcW w:w="3686" w:type="dxa"/>
            <w:gridSpan w:val="5"/>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Environmental Indicators for Agriculture</w:t>
            </w:r>
          </w:p>
        </w:tc>
        <w:tc>
          <w:tcPr>
            <w:tcW w:w="2410" w:type="dxa"/>
            <w:gridSpan w:val="3"/>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Vol. 3: Methods and Results</w:t>
            </w:r>
          </w:p>
        </w:tc>
        <w:tc>
          <w:tcPr>
            <w:tcW w:w="1150" w:type="dxa"/>
            <w:vAlign w:val="center"/>
          </w:tcPr>
          <w:p w:rsidR="00274F73" w:rsidRPr="00274F73" w:rsidRDefault="00274F73" w:rsidP="00274F73">
            <w:pPr>
              <w:spacing w:after="0" w:line="240" w:lineRule="auto"/>
              <w:jc w:val="center"/>
              <w:rPr>
                <w:rFonts w:ascii="Arial" w:hAnsi="Arial" w:cs="Arial"/>
                <w:sz w:val="14"/>
                <w:szCs w:val="16"/>
              </w:rPr>
            </w:pPr>
            <w:r w:rsidRPr="00274F73">
              <w:rPr>
                <w:rFonts w:ascii="Arial" w:hAnsi="Arial" w:cs="Arial"/>
                <w:sz w:val="14"/>
                <w:szCs w:val="16"/>
              </w:rPr>
              <w:t>2001</w:t>
            </w:r>
          </w:p>
        </w:tc>
      </w:tr>
    </w:tbl>
    <w:p w:rsidR="00274F73" w:rsidRPr="00274F73" w:rsidRDefault="00274F73" w:rsidP="00274F73">
      <w:pPr>
        <w:spacing w:after="0"/>
        <w:jc w:val="both"/>
        <w:rPr>
          <w:lang/>
        </w:rPr>
      </w:pPr>
    </w:p>
    <w:sectPr w:rsidR="00274F73" w:rsidRPr="00274F73"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2D6" w:rsidRDefault="00D452D6" w:rsidP="00121F00">
      <w:pPr>
        <w:spacing w:after="0"/>
      </w:pPr>
      <w:r>
        <w:separator/>
      </w:r>
    </w:p>
  </w:endnote>
  <w:endnote w:type="continuationSeparator" w:id="1">
    <w:p w:rsidR="00D452D6" w:rsidRDefault="00D452D6"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2D6" w:rsidRDefault="00D452D6" w:rsidP="00121F00">
      <w:pPr>
        <w:spacing w:after="0"/>
      </w:pPr>
      <w:r>
        <w:separator/>
      </w:r>
    </w:p>
  </w:footnote>
  <w:footnote w:type="continuationSeparator" w:id="1">
    <w:p w:rsidR="00D452D6" w:rsidRDefault="00D452D6"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274F73">
      <w:trPr>
        <w:trHeight w:val="694"/>
      </w:trPr>
      <w:tc>
        <w:tcPr>
          <w:tcW w:w="1818" w:type="dxa"/>
          <w:vMerge w:val="restart"/>
          <w:vAlign w:val="center"/>
        </w:tcPr>
        <w:p w:rsidR="00121F00" w:rsidRPr="00121F00" w:rsidRDefault="00121F00" w:rsidP="00274F73">
          <w:pPr>
            <w:spacing w:after="0" w:line="240" w:lineRule="auto"/>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274F73">
          <w:pPr>
            <w:spacing w:after="0" w:line="240" w:lineRule="auto"/>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274F73">
          <w:pPr>
            <w:spacing w:after="0" w:line="240" w:lineRule="auto"/>
            <w:jc w:val="center"/>
            <w:rPr>
              <w:rFonts w:ascii="Arial" w:hAnsi="Arial" w:cs="Arial"/>
              <w:sz w:val="16"/>
              <w:szCs w:val="16"/>
            </w:rPr>
          </w:pPr>
        </w:p>
        <w:p w:rsidR="00121F00" w:rsidRPr="00121F00" w:rsidRDefault="00121F00" w:rsidP="00274F73">
          <w:pPr>
            <w:spacing w:after="0" w:line="240" w:lineRule="auto"/>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274F73">
          <w:pPr>
            <w:spacing w:after="0" w:line="240" w:lineRule="auto"/>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274F73">
      <w:trPr>
        <w:trHeight w:val="1040"/>
      </w:trPr>
      <w:tc>
        <w:tcPr>
          <w:tcW w:w="1818" w:type="dxa"/>
          <w:vMerge/>
          <w:tcBorders>
            <w:bottom w:val="single" w:sz="4" w:space="0" w:color="auto"/>
          </w:tcBorders>
        </w:tcPr>
        <w:p w:rsidR="00121F00" w:rsidRPr="00121F00" w:rsidRDefault="00121F00" w:rsidP="00274F73">
          <w:pPr>
            <w:spacing w:after="0" w:line="240" w:lineRule="auto"/>
          </w:pPr>
        </w:p>
      </w:tc>
      <w:tc>
        <w:tcPr>
          <w:tcW w:w="6372" w:type="dxa"/>
          <w:tcBorders>
            <w:bottom w:val="single" w:sz="4" w:space="0" w:color="auto"/>
          </w:tcBorders>
          <w:shd w:val="clear" w:color="auto" w:fill="C2D69B" w:themeFill="accent3" w:themeFillTint="99"/>
          <w:vAlign w:val="center"/>
        </w:tcPr>
        <w:p w:rsidR="00121F00" w:rsidRPr="00121F00" w:rsidRDefault="00121F00" w:rsidP="00274F73">
          <w:pPr>
            <w:spacing w:after="0" w:line="240" w:lineRule="auto"/>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274F73">
          <w:pPr>
            <w:spacing w:after="0" w:line="240" w:lineRule="auto"/>
            <w:jc w:val="center"/>
          </w:pPr>
        </w:p>
        <w:p w:rsidR="00121F00" w:rsidRPr="00121F00" w:rsidRDefault="00121F00" w:rsidP="00274F73">
          <w:pPr>
            <w:spacing w:after="0" w:line="240" w:lineRule="auto"/>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274F73">
          <w:pPr>
            <w:spacing w:after="0" w:line="240" w:lineRule="auto"/>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274F73">
          <w:pPr>
            <w:spacing w:after="0" w:line="240" w:lineRule="auto"/>
          </w:pPr>
        </w:p>
      </w:tc>
    </w:tr>
    <w:tr w:rsidR="00121F00" w:rsidRPr="00121F00" w:rsidTr="00274F73">
      <w:tc>
        <w:tcPr>
          <w:tcW w:w="9622" w:type="dxa"/>
          <w:gridSpan w:val="3"/>
          <w:tcBorders>
            <w:left w:val="nil"/>
            <w:bottom w:val="nil"/>
            <w:right w:val="nil"/>
          </w:tcBorders>
        </w:tcPr>
        <w:p w:rsidR="00121F00" w:rsidRPr="00121F00" w:rsidRDefault="00121F00" w:rsidP="00274F73">
          <w:pPr>
            <w:spacing w:after="0" w:line="240" w:lineRule="auto"/>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17ADC"/>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914ECE"/>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17641C"/>
    <w:rsid w:val="00274F73"/>
    <w:rsid w:val="00474BCC"/>
    <w:rsid w:val="007E7597"/>
    <w:rsid w:val="00884F99"/>
    <w:rsid w:val="00C25483"/>
    <w:rsid w:val="00D452D6"/>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73"/>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 w:type="paragraph" w:styleId="ListParagraph">
    <w:name w:val="List Paragraph"/>
    <w:basedOn w:val="Normal"/>
    <w:uiPriority w:val="34"/>
    <w:qFormat/>
    <w:rsid w:val="00274F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2015-01-22T13:28:00Z</dcterms:modified>
</cp:coreProperties>
</file>