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558"/>
        <w:gridCol w:w="151"/>
        <w:gridCol w:w="1150"/>
      </w:tblGrid>
      <w:tr w:rsidR="00007543" w:rsidRPr="00007543" w:rsidTr="003E5744">
        <w:trPr>
          <w:trHeight w:val="420"/>
        </w:trPr>
        <w:tc>
          <w:tcPr>
            <w:tcW w:w="2092" w:type="dxa"/>
            <w:gridSpan w:val="2"/>
            <w:shd w:val="clear" w:color="auto" w:fill="C2D69B" w:themeFill="accent3" w:themeFillTint="99"/>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Course:</w:t>
            </w:r>
          </w:p>
        </w:tc>
        <w:tc>
          <w:tcPr>
            <w:tcW w:w="7530" w:type="dxa"/>
            <w:gridSpan w:val="10"/>
            <w:vMerge w:val="restart"/>
            <w:vAlign w:val="center"/>
          </w:tcPr>
          <w:p w:rsidR="00007543" w:rsidRPr="00007543" w:rsidRDefault="00007543" w:rsidP="00007543">
            <w:pPr>
              <w:spacing w:after="0" w:line="240" w:lineRule="auto"/>
              <w:jc w:val="center"/>
              <w:rPr>
                <w:rFonts w:ascii="Arial" w:hAnsi="Arial" w:cs="Arial"/>
                <w:i/>
                <w:sz w:val="18"/>
                <w:szCs w:val="18"/>
                <w:lang w:val="en-GB"/>
              </w:rPr>
            </w:pPr>
            <w:r w:rsidRPr="00007543">
              <w:rPr>
                <w:rFonts w:ascii="Arial" w:hAnsi="Arial" w:cs="Arial"/>
                <w:i/>
                <w:sz w:val="18"/>
                <w:szCs w:val="18"/>
                <w:lang w:val="en-GB"/>
              </w:rPr>
              <w:t xml:space="preserve">Management of Fruit Growing and </w:t>
            </w:r>
            <w:proofErr w:type="spellStart"/>
            <w:r w:rsidRPr="00007543">
              <w:rPr>
                <w:rFonts w:ascii="Arial" w:hAnsi="Arial" w:cs="Arial"/>
                <w:i/>
                <w:sz w:val="18"/>
                <w:szCs w:val="18"/>
                <w:lang w:val="en-GB"/>
              </w:rPr>
              <w:t>Viticultural</w:t>
            </w:r>
            <w:proofErr w:type="spellEnd"/>
            <w:r w:rsidRPr="00007543">
              <w:rPr>
                <w:rFonts w:ascii="Arial" w:hAnsi="Arial" w:cs="Arial"/>
                <w:i/>
                <w:sz w:val="18"/>
                <w:szCs w:val="18"/>
                <w:lang w:val="en-GB"/>
              </w:rPr>
              <w:t xml:space="preserve"> Production</w:t>
            </w:r>
          </w:p>
        </w:tc>
      </w:tr>
      <w:tr w:rsidR="00007543" w:rsidRPr="00007543" w:rsidTr="003E5744">
        <w:tc>
          <w:tcPr>
            <w:tcW w:w="2092" w:type="dxa"/>
            <w:gridSpan w:val="2"/>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Course id:</w:t>
            </w:r>
            <w:r w:rsidRPr="00007543">
              <w:rPr>
                <w:rFonts w:ascii="Times New Roman" w:eastAsia="Times New Roman" w:hAnsi="Times New Roman" w:cs="Times New Roman"/>
                <w:sz w:val="18"/>
                <w:szCs w:val="18"/>
                <w:lang w:val="en-GB"/>
              </w:rPr>
              <w:t>3ОАЕ5О23</w:t>
            </w:r>
          </w:p>
        </w:tc>
        <w:tc>
          <w:tcPr>
            <w:tcW w:w="7530" w:type="dxa"/>
            <w:gridSpan w:val="10"/>
            <w:vMerge/>
          </w:tcPr>
          <w:p w:rsidR="00007543" w:rsidRPr="00007543" w:rsidRDefault="00007543" w:rsidP="00007543">
            <w:pPr>
              <w:spacing w:after="0" w:line="240" w:lineRule="auto"/>
              <w:rPr>
                <w:lang w:val="en-GB"/>
              </w:rPr>
            </w:pPr>
          </w:p>
        </w:tc>
      </w:tr>
      <w:tr w:rsidR="00007543" w:rsidRPr="00007543" w:rsidTr="003E5744">
        <w:tc>
          <w:tcPr>
            <w:tcW w:w="2092" w:type="dxa"/>
            <w:gridSpan w:val="2"/>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Number of ECTS:5</w:t>
            </w:r>
          </w:p>
        </w:tc>
        <w:tc>
          <w:tcPr>
            <w:tcW w:w="7530" w:type="dxa"/>
            <w:gridSpan w:val="10"/>
            <w:vMerge/>
          </w:tcPr>
          <w:p w:rsidR="00007543" w:rsidRPr="00007543" w:rsidRDefault="00007543" w:rsidP="00007543">
            <w:pPr>
              <w:spacing w:after="0" w:line="240" w:lineRule="auto"/>
              <w:rPr>
                <w:lang w:val="en-GB"/>
              </w:rPr>
            </w:pPr>
          </w:p>
        </w:tc>
      </w:tr>
      <w:tr w:rsidR="00007543" w:rsidRPr="00007543" w:rsidTr="003E5744">
        <w:tc>
          <w:tcPr>
            <w:tcW w:w="2092" w:type="dxa"/>
            <w:gridSpan w:val="2"/>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Teacher:</w:t>
            </w:r>
          </w:p>
        </w:tc>
        <w:tc>
          <w:tcPr>
            <w:tcW w:w="7530" w:type="dxa"/>
            <w:gridSpan w:val="10"/>
          </w:tcPr>
          <w:p w:rsidR="00007543" w:rsidRPr="00007543" w:rsidRDefault="00007543" w:rsidP="00007543">
            <w:pPr>
              <w:spacing w:after="0" w:line="240" w:lineRule="auto"/>
              <w:rPr>
                <w:lang w:val="en-GB"/>
              </w:rPr>
            </w:pPr>
            <w:proofErr w:type="spellStart"/>
            <w:r w:rsidRPr="00007543">
              <w:rPr>
                <w:lang w:val="en-GB"/>
              </w:rPr>
              <w:t>Dušan</w:t>
            </w:r>
            <w:proofErr w:type="spellEnd"/>
            <w:r w:rsidRPr="00007543">
              <w:rPr>
                <w:lang w:val="en-GB"/>
              </w:rPr>
              <w:t xml:space="preserve"> B. </w:t>
            </w:r>
            <w:proofErr w:type="spellStart"/>
            <w:r w:rsidRPr="00007543">
              <w:rPr>
                <w:lang w:val="en-GB"/>
              </w:rPr>
              <w:t>Milić</w:t>
            </w:r>
            <w:proofErr w:type="spellEnd"/>
            <w:r w:rsidRPr="00007543">
              <w:rPr>
                <w:lang w:val="en-GB"/>
              </w:rPr>
              <w:t xml:space="preserve">; Mirjana Ž. </w:t>
            </w:r>
            <w:proofErr w:type="spellStart"/>
            <w:r w:rsidRPr="00007543">
              <w:rPr>
                <w:lang w:val="en-GB"/>
              </w:rPr>
              <w:t>Lukač-Bulatović</w:t>
            </w:r>
            <w:proofErr w:type="spellEnd"/>
          </w:p>
        </w:tc>
      </w:tr>
      <w:tr w:rsidR="00007543" w:rsidRPr="00007543" w:rsidTr="003E5744">
        <w:tc>
          <w:tcPr>
            <w:tcW w:w="2092" w:type="dxa"/>
            <w:gridSpan w:val="2"/>
            <w:tcBorders>
              <w:bottom w:val="single" w:sz="4" w:space="0" w:color="auto"/>
            </w:tcBorders>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Course status</w:t>
            </w:r>
          </w:p>
        </w:tc>
        <w:tc>
          <w:tcPr>
            <w:tcW w:w="7530" w:type="dxa"/>
            <w:gridSpan w:val="10"/>
            <w:tcBorders>
              <w:bottom w:val="single" w:sz="4" w:space="0" w:color="auto"/>
            </w:tcBorders>
          </w:tcPr>
          <w:p w:rsidR="00007543" w:rsidRPr="00007543" w:rsidRDefault="00007543" w:rsidP="00007543">
            <w:pPr>
              <w:spacing w:after="0" w:line="240" w:lineRule="auto"/>
              <w:rPr>
                <w:lang w:val="en-GB"/>
              </w:rPr>
            </w:pPr>
            <w:r w:rsidRPr="00007543">
              <w:rPr>
                <w:sz w:val="18"/>
                <w:szCs w:val="18"/>
                <w:lang w:val="en-GB"/>
              </w:rPr>
              <w:t>Mandatory</w:t>
            </w:r>
          </w:p>
        </w:tc>
      </w:tr>
      <w:tr w:rsidR="00007543" w:rsidRPr="00007543" w:rsidTr="003E5744">
        <w:trPr>
          <w:trHeight w:val="227"/>
        </w:trPr>
        <w:tc>
          <w:tcPr>
            <w:tcW w:w="9622" w:type="dxa"/>
            <w:gridSpan w:val="12"/>
            <w:tcBorders>
              <w:bottom w:val="single" w:sz="4" w:space="0" w:color="auto"/>
            </w:tcBorders>
            <w:shd w:val="clear" w:color="auto" w:fill="C2D69B" w:themeFill="accent3" w:themeFillTint="99"/>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Number of active teaching classes (weekly)</w:t>
            </w:r>
          </w:p>
        </w:tc>
      </w:tr>
      <w:tr w:rsidR="00007543" w:rsidRPr="00007543" w:rsidTr="003E5744">
        <w:trPr>
          <w:trHeight w:val="227"/>
        </w:trPr>
        <w:tc>
          <w:tcPr>
            <w:tcW w:w="2092" w:type="dxa"/>
            <w:gridSpan w:val="2"/>
            <w:tcBorders>
              <w:bottom w:val="single" w:sz="4" w:space="0" w:color="auto"/>
            </w:tcBorders>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Study research work:</w:t>
            </w:r>
          </w:p>
        </w:tc>
        <w:tc>
          <w:tcPr>
            <w:tcW w:w="1859" w:type="dxa"/>
            <w:gridSpan w:val="3"/>
            <w:tcBorders>
              <w:bottom w:val="single" w:sz="4" w:space="0" w:color="auto"/>
            </w:tcBorders>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Other classes:</w:t>
            </w:r>
          </w:p>
        </w:tc>
      </w:tr>
      <w:tr w:rsidR="00007543" w:rsidRPr="00007543" w:rsidTr="003E5744">
        <w:tc>
          <w:tcPr>
            <w:tcW w:w="2092" w:type="dxa"/>
            <w:gridSpan w:val="2"/>
            <w:shd w:val="clear" w:color="auto" w:fill="C2D69B" w:themeFill="accent3" w:themeFillTint="99"/>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Precondition courses</w:t>
            </w:r>
          </w:p>
        </w:tc>
        <w:tc>
          <w:tcPr>
            <w:tcW w:w="7530" w:type="dxa"/>
            <w:gridSpan w:val="10"/>
            <w:shd w:val="clear" w:color="auto" w:fill="C2D69B" w:themeFill="accent3" w:themeFillTint="99"/>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None</w:t>
            </w:r>
          </w:p>
        </w:tc>
      </w:tr>
      <w:tr w:rsidR="00007543" w:rsidRPr="00007543" w:rsidTr="003E5744">
        <w:tc>
          <w:tcPr>
            <w:tcW w:w="9622" w:type="dxa"/>
            <w:gridSpan w:val="12"/>
          </w:tcPr>
          <w:p w:rsidR="00007543" w:rsidRPr="00007543" w:rsidRDefault="00007543" w:rsidP="00007543">
            <w:pPr>
              <w:numPr>
                <w:ilvl w:val="0"/>
                <w:numId w:val="3"/>
              </w:numPr>
              <w:spacing w:after="0" w:line="192" w:lineRule="auto"/>
              <w:contextualSpacing/>
              <w:rPr>
                <w:rFonts w:ascii="Arial" w:hAnsi="Arial" w:cs="Arial"/>
                <w:sz w:val="16"/>
                <w:szCs w:val="16"/>
                <w:lang w:val="en-GB"/>
              </w:rPr>
            </w:pPr>
            <w:r w:rsidRPr="00007543">
              <w:rPr>
                <w:rFonts w:ascii="Arial" w:hAnsi="Arial" w:cs="Arial"/>
                <w:sz w:val="16"/>
                <w:szCs w:val="16"/>
                <w:lang w:val="en-GB"/>
              </w:rPr>
              <w:t>Educational goal</w:t>
            </w:r>
          </w:p>
          <w:p w:rsidR="00007543" w:rsidRPr="00007543" w:rsidRDefault="00007543" w:rsidP="00007543">
            <w:pPr>
              <w:spacing w:after="0" w:line="192" w:lineRule="auto"/>
              <w:rPr>
                <w:sz w:val="18"/>
                <w:szCs w:val="18"/>
                <w:lang w:val="en-GB"/>
              </w:rPr>
            </w:pPr>
            <w:r w:rsidRPr="00007543">
              <w:rPr>
                <w:sz w:val="18"/>
                <w:szCs w:val="18"/>
                <w:lang w:val="en-GB"/>
              </w:rPr>
              <w:t xml:space="preserve">To provide students with a better insight into necessary skills needed for managing interactions in fruit and viticulture production and processing as an integral part of the complex and dynamic food production system as a whole. </w:t>
            </w:r>
          </w:p>
        </w:tc>
      </w:tr>
      <w:tr w:rsidR="00007543" w:rsidRPr="00007543" w:rsidTr="003E5744">
        <w:tc>
          <w:tcPr>
            <w:tcW w:w="9622" w:type="dxa"/>
            <w:gridSpan w:val="12"/>
          </w:tcPr>
          <w:p w:rsidR="00007543" w:rsidRPr="00007543" w:rsidRDefault="00007543" w:rsidP="00007543">
            <w:pPr>
              <w:numPr>
                <w:ilvl w:val="0"/>
                <w:numId w:val="3"/>
              </w:numPr>
              <w:spacing w:after="0" w:line="192" w:lineRule="auto"/>
              <w:ind w:left="284" w:hanging="284"/>
              <w:contextualSpacing/>
              <w:rPr>
                <w:rFonts w:ascii="Arial" w:hAnsi="Arial" w:cs="Arial"/>
                <w:sz w:val="16"/>
                <w:szCs w:val="16"/>
                <w:lang w:val="en-GB"/>
              </w:rPr>
            </w:pPr>
            <w:r w:rsidRPr="00007543">
              <w:rPr>
                <w:rFonts w:ascii="Arial" w:hAnsi="Arial" w:cs="Arial"/>
                <w:sz w:val="16"/>
                <w:szCs w:val="16"/>
                <w:lang w:val="en-GB"/>
              </w:rPr>
              <w:t>Educational outcomes</w:t>
            </w:r>
          </w:p>
          <w:p w:rsidR="00007543" w:rsidRPr="00007543" w:rsidRDefault="00007543" w:rsidP="00007543">
            <w:pPr>
              <w:spacing w:after="0" w:line="192" w:lineRule="auto"/>
              <w:rPr>
                <w:sz w:val="18"/>
                <w:szCs w:val="18"/>
                <w:lang w:val="en-GB"/>
              </w:rPr>
            </w:pPr>
            <w:r w:rsidRPr="00007543">
              <w:rPr>
                <w:sz w:val="18"/>
                <w:szCs w:val="18"/>
                <w:lang w:val="en-GB"/>
              </w:rPr>
              <w:t xml:space="preserve">To enable achieving maximum profits and constant growth and development of fruit and viticulture production and processing by constant establishing and creation of optimal organization, and optimal combination of production factors. </w:t>
            </w:r>
          </w:p>
        </w:tc>
      </w:tr>
      <w:tr w:rsidR="00007543" w:rsidRPr="00007543" w:rsidTr="003E5744">
        <w:tc>
          <w:tcPr>
            <w:tcW w:w="9622" w:type="dxa"/>
            <w:gridSpan w:val="12"/>
          </w:tcPr>
          <w:p w:rsidR="00007543" w:rsidRPr="00007543" w:rsidRDefault="00007543" w:rsidP="00007543">
            <w:pPr>
              <w:numPr>
                <w:ilvl w:val="0"/>
                <w:numId w:val="3"/>
              </w:numPr>
              <w:spacing w:after="0" w:line="240" w:lineRule="auto"/>
              <w:ind w:left="284" w:hanging="284"/>
              <w:contextualSpacing/>
              <w:rPr>
                <w:rFonts w:ascii="Arial" w:hAnsi="Arial" w:cs="Arial"/>
                <w:sz w:val="16"/>
                <w:szCs w:val="16"/>
                <w:lang w:val="en-GB"/>
              </w:rPr>
            </w:pPr>
            <w:r w:rsidRPr="00007543">
              <w:rPr>
                <w:rFonts w:ascii="Arial" w:hAnsi="Arial" w:cs="Arial"/>
                <w:sz w:val="16"/>
                <w:szCs w:val="16"/>
                <w:lang w:val="en-GB"/>
              </w:rPr>
              <w:t>Course content</w:t>
            </w:r>
          </w:p>
          <w:p w:rsidR="00007543" w:rsidRPr="00007543" w:rsidRDefault="00007543" w:rsidP="00007543">
            <w:pPr>
              <w:spacing w:after="0" w:line="192" w:lineRule="auto"/>
              <w:rPr>
                <w:sz w:val="18"/>
                <w:szCs w:val="18"/>
                <w:lang w:val="en-GB"/>
              </w:rPr>
            </w:pPr>
            <w:r w:rsidRPr="00007543">
              <w:rPr>
                <w:i/>
                <w:sz w:val="18"/>
                <w:szCs w:val="18"/>
                <w:lang w:val="en-GB"/>
              </w:rPr>
              <w:t xml:space="preserve">Theoretical </w:t>
            </w:r>
            <w:proofErr w:type="spellStart"/>
            <w:r w:rsidRPr="00007543">
              <w:rPr>
                <w:i/>
                <w:sz w:val="18"/>
                <w:szCs w:val="18"/>
                <w:lang w:val="en-GB"/>
              </w:rPr>
              <w:t>instruction</w:t>
            </w:r>
            <w:r w:rsidRPr="00007543">
              <w:rPr>
                <w:sz w:val="18"/>
                <w:szCs w:val="18"/>
                <w:lang w:val="en-GB"/>
              </w:rPr>
              <w:t>Importance</w:t>
            </w:r>
            <w:proofErr w:type="spellEnd"/>
            <w:r w:rsidRPr="00007543">
              <w:rPr>
                <w:sz w:val="18"/>
                <w:szCs w:val="18"/>
                <w:lang w:val="en-GB"/>
              </w:rPr>
              <w:t xml:space="preserve"> and characteristics of fruit and viticulture production. Efficiency factors of fruit production. Organizing land areas in fruit and viticulture production. Choosing production structure in fruit and viticulture production. Organization and economics of some lines in fruit and viticulture production. Organizational and economic features of orchard and vineyard establishment. Assessing the value of fruit trees. Organizing the most important work processes in fruit and viticulture production. Association forms in agriculture (fruit and viticulture production). Picking, preserving and packing fruit. Organizational and economic aspects of fruit processing. Organizational and economic aspects of grapes processing. Quality management in fruit production and processing.</w:t>
            </w:r>
          </w:p>
          <w:p w:rsidR="00007543" w:rsidRPr="00007543" w:rsidRDefault="00007543" w:rsidP="00007543">
            <w:pPr>
              <w:spacing w:after="0" w:line="192" w:lineRule="auto"/>
              <w:rPr>
                <w:sz w:val="18"/>
                <w:szCs w:val="18"/>
                <w:lang w:val="en-GB"/>
              </w:rPr>
            </w:pPr>
            <w:r w:rsidRPr="00007543">
              <w:rPr>
                <w:i/>
                <w:sz w:val="18"/>
                <w:szCs w:val="18"/>
                <w:lang w:val="en-GB"/>
              </w:rPr>
              <w:t xml:space="preserve">Practical </w:t>
            </w:r>
            <w:proofErr w:type="spellStart"/>
            <w:r w:rsidRPr="00007543">
              <w:rPr>
                <w:i/>
                <w:sz w:val="18"/>
                <w:szCs w:val="18"/>
                <w:lang w:val="en-GB"/>
              </w:rPr>
              <w:t>instruction</w:t>
            </w:r>
            <w:r w:rsidRPr="00007543">
              <w:rPr>
                <w:sz w:val="18"/>
                <w:szCs w:val="18"/>
                <w:lang w:val="en-GB"/>
              </w:rPr>
              <w:t>The</w:t>
            </w:r>
            <w:proofErr w:type="spellEnd"/>
            <w:r w:rsidRPr="00007543">
              <w:rPr>
                <w:sz w:val="18"/>
                <w:szCs w:val="18"/>
                <w:lang w:val="en-GB"/>
              </w:rPr>
              <w:t xml:space="preserve"> concept and significance of perennial plantations: specific features of fruit and viticulture production, introduction to fruit and viticulture production, journal of plantation history, data needed to plan  costs of work and material, making technological chart of plantation establishment and regular fruit and viticulture production, fertilization plan, assessing economic efficiency and cost of work for some growing forms. Capacity and volume planning in fruit and viticulture production: area planning, yield planning, planning processing capacity needs. Making business plan. Organizational and economic aspects of fruit and grapes processing: fruit and grapes processing capacities, semi-processed and final products made of fruit and grapes, using by-products in fruit and grapes processing industry. Applying contemporary mathematical and statistical methods in fruit and viticulture production – production functions, linear programming, network planning, </w:t>
            </w:r>
            <w:proofErr w:type="gramStart"/>
            <w:r w:rsidRPr="00007543">
              <w:rPr>
                <w:sz w:val="18"/>
                <w:szCs w:val="18"/>
                <w:lang w:val="en-GB"/>
              </w:rPr>
              <w:t>transportation</w:t>
            </w:r>
            <w:proofErr w:type="gramEnd"/>
            <w:r w:rsidRPr="00007543">
              <w:rPr>
                <w:sz w:val="18"/>
                <w:szCs w:val="18"/>
                <w:lang w:val="en-GB"/>
              </w:rPr>
              <w:t xml:space="preserve"> problem.   </w:t>
            </w:r>
          </w:p>
        </w:tc>
      </w:tr>
      <w:tr w:rsidR="00007543" w:rsidRPr="00007543" w:rsidTr="003E5744">
        <w:tc>
          <w:tcPr>
            <w:tcW w:w="9622" w:type="dxa"/>
            <w:gridSpan w:val="12"/>
            <w:tcBorders>
              <w:bottom w:val="single" w:sz="4" w:space="0" w:color="auto"/>
            </w:tcBorders>
          </w:tcPr>
          <w:p w:rsidR="00007543" w:rsidRPr="00007543" w:rsidRDefault="00007543" w:rsidP="00007543">
            <w:pPr>
              <w:numPr>
                <w:ilvl w:val="0"/>
                <w:numId w:val="3"/>
              </w:numPr>
              <w:spacing w:after="0" w:line="240" w:lineRule="auto"/>
              <w:ind w:left="284" w:hanging="284"/>
              <w:contextualSpacing/>
              <w:rPr>
                <w:rFonts w:ascii="Arial" w:hAnsi="Arial" w:cs="Arial"/>
                <w:sz w:val="16"/>
                <w:szCs w:val="16"/>
                <w:lang w:val="en-GB"/>
              </w:rPr>
            </w:pPr>
            <w:r w:rsidRPr="00007543">
              <w:rPr>
                <w:rFonts w:ascii="Arial" w:hAnsi="Arial" w:cs="Arial"/>
                <w:sz w:val="16"/>
                <w:szCs w:val="16"/>
                <w:lang w:val="en-GB"/>
              </w:rPr>
              <w:t>Teaching methods</w:t>
            </w:r>
          </w:p>
          <w:p w:rsidR="00007543" w:rsidRPr="00007543" w:rsidRDefault="00007543" w:rsidP="00007543">
            <w:pPr>
              <w:spacing w:after="0" w:line="240" w:lineRule="auto"/>
              <w:rPr>
                <w:sz w:val="18"/>
                <w:szCs w:val="18"/>
                <w:lang w:val="en-GB"/>
              </w:rPr>
            </w:pPr>
            <w:r w:rsidRPr="00007543">
              <w:rPr>
                <w:rFonts w:ascii="Arial" w:hAnsi="Arial" w:cs="Arial"/>
                <w:sz w:val="16"/>
                <w:szCs w:val="16"/>
                <w:lang w:val="en-GB"/>
              </w:rPr>
              <w:t>Lectures, PowerPoint presentations.</w:t>
            </w:r>
          </w:p>
        </w:tc>
      </w:tr>
      <w:tr w:rsidR="00007543" w:rsidRPr="00007543" w:rsidTr="003E5744">
        <w:tc>
          <w:tcPr>
            <w:tcW w:w="9622" w:type="dxa"/>
            <w:gridSpan w:val="12"/>
            <w:tcBorders>
              <w:bottom w:val="single" w:sz="4" w:space="0" w:color="auto"/>
            </w:tcBorders>
            <w:shd w:val="clear" w:color="auto" w:fill="C2D69B" w:themeFill="accent3" w:themeFillTint="99"/>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Knowledge evaluation (maximum 100 points)</w:t>
            </w:r>
          </w:p>
        </w:tc>
      </w:tr>
      <w:tr w:rsidR="00007543" w:rsidRPr="00007543" w:rsidTr="003E5744">
        <w:tc>
          <w:tcPr>
            <w:tcW w:w="2376" w:type="dxa"/>
            <w:gridSpan w:val="3"/>
            <w:shd w:val="clear" w:color="auto" w:fill="auto"/>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Pre-examination obligations</w:t>
            </w:r>
          </w:p>
        </w:tc>
        <w:tc>
          <w:tcPr>
            <w:tcW w:w="1134" w:type="dxa"/>
            <w:shd w:val="clear" w:color="auto" w:fill="auto"/>
            <w:vAlign w:val="center"/>
          </w:tcPr>
          <w:p w:rsidR="00007543" w:rsidRPr="00007543" w:rsidRDefault="00007543" w:rsidP="00007543">
            <w:pPr>
              <w:spacing w:after="0" w:line="240" w:lineRule="auto"/>
              <w:rPr>
                <w:rFonts w:ascii="Arial" w:hAnsi="Arial" w:cs="Arial"/>
                <w:sz w:val="16"/>
                <w:szCs w:val="16"/>
                <w:lang w:val="en-GB"/>
              </w:rPr>
            </w:pPr>
            <w:r w:rsidRPr="00007543">
              <w:rPr>
                <w:rFonts w:ascii="Arial" w:hAnsi="Arial" w:cs="Arial"/>
                <w:sz w:val="16"/>
                <w:szCs w:val="16"/>
                <w:lang w:val="en-GB"/>
              </w:rPr>
              <w:t>Mandatory</w:t>
            </w:r>
          </w:p>
        </w:tc>
        <w:tc>
          <w:tcPr>
            <w:tcW w:w="1301" w:type="dxa"/>
            <w:gridSpan w:val="2"/>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Points</w:t>
            </w:r>
          </w:p>
        </w:tc>
        <w:tc>
          <w:tcPr>
            <w:tcW w:w="2527" w:type="dxa"/>
            <w:gridSpan w:val="2"/>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 xml:space="preserve">Final exam </w:t>
            </w:r>
          </w:p>
        </w:tc>
        <w:tc>
          <w:tcPr>
            <w:tcW w:w="1134" w:type="dxa"/>
            <w:gridSpan w:val="3"/>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Mandatory</w:t>
            </w:r>
          </w:p>
        </w:tc>
        <w:tc>
          <w:tcPr>
            <w:tcW w:w="1150" w:type="dxa"/>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Points</w:t>
            </w:r>
          </w:p>
        </w:tc>
      </w:tr>
      <w:tr w:rsidR="00007543" w:rsidRPr="00007543" w:rsidTr="003E5744">
        <w:tc>
          <w:tcPr>
            <w:tcW w:w="2376" w:type="dxa"/>
            <w:gridSpan w:val="3"/>
            <w:shd w:val="clear" w:color="auto" w:fill="auto"/>
            <w:vAlign w:val="center"/>
          </w:tcPr>
          <w:p w:rsidR="00007543" w:rsidRPr="00007543" w:rsidRDefault="00007543" w:rsidP="00007543">
            <w:pPr>
              <w:spacing w:after="0" w:line="240" w:lineRule="auto"/>
              <w:rPr>
                <w:sz w:val="18"/>
                <w:szCs w:val="18"/>
                <w:lang w:val="en-GB"/>
              </w:rPr>
            </w:pPr>
            <w:r w:rsidRPr="00007543">
              <w:rPr>
                <w:sz w:val="18"/>
                <w:szCs w:val="18"/>
                <w:lang w:val="en-GB"/>
              </w:rPr>
              <w:t>Seminar paper</w:t>
            </w:r>
          </w:p>
        </w:tc>
        <w:tc>
          <w:tcPr>
            <w:tcW w:w="1134" w:type="dxa"/>
            <w:shd w:val="clear" w:color="auto" w:fill="auto"/>
            <w:vAlign w:val="center"/>
          </w:tcPr>
          <w:p w:rsidR="00007543" w:rsidRPr="00007543" w:rsidRDefault="00007543" w:rsidP="00007543">
            <w:pPr>
              <w:spacing w:after="0" w:line="240" w:lineRule="auto"/>
              <w:jc w:val="center"/>
              <w:rPr>
                <w:lang w:val="en-GB"/>
              </w:rPr>
            </w:pPr>
            <w:r w:rsidRPr="00007543">
              <w:rPr>
                <w:rFonts w:ascii="Arial" w:hAnsi="Arial" w:cs="Arial"/>
                <w:sz w:val="16"/>
                <w:szCs w:val="16"/>
                <w:lang w:val="en-GB"/>
              </w:rPr>
              <w:t>Yes/No</w:t>
            </w:r>
          </w:p>
        </w:tc>
        <w:tc>
          <w:tcPr>
            <w:tcW w:w="1301" w:type="dxa"/>
            <w:gridSpan w:val="2"/>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20</w:t>
            </w:r>
          </w:p>
        </w:tc>
        <w:tc>
          <w:tcPr>
            <w:tcW w:w="2527" w:type="dxa"/>
            <w:gridSpan w:val="2"/>
            <w:shd w:val="clear" w:color="auto" w:fill="auto"/>
            <w:vAlign w:val="center"/>
          </w:tcPr>
          <w:p w:rsidR="00007543" w:rsidRPr="00007543" w:rsidRDefault="00007543" w:rsidP="00007543">
            <w:pPr>
              <w:spacing w:after="0" w:line="240" w:lineRule="auto"/>
              <w:jc w:val="center"/>
              <w:rPr>
                <w:rFonts w:ascii="Arial" w:hAnsi="Arial" w:cs="Arial"/>
                <w:i/>
                <w:sz w:val="14"/>
                <w:szCs w:val="14"/>
                <w:lang w:val="en-GB"/>
              </w:rPr>
            </w:pPr>
            <w:r w:rsidRPr="00007543">
              <w:rPr>
                <w:rFonts w:ascii="Arial" w:hAnsi="Arial" w:cs="Arial"/>
                <w:i/>
                <w:sz w:val="14"/>
                <w:szCs w:val="14"/>
                <w:lang w:val="en-GB"/>
              </w:rPr>
              <w:t>Written exam</w:t>
            </w:r>
          </w:p>
          <w:p w:rsidR="00007543" w:rsidRPr="00007543" w:rsidRDefault="00007543" w:rsidP="00007543">
            <w:pPr>
              <w:spacing w:after="0" w:line="240" w:lineRule="auto"/>
              <w:jc w:val="center"/>
              <w:rPr>
                <w:rFonts w:ascii="Arial" w:hAnsi="Arial" w:cs="Arial"/>
                <w:i/>
                <w:sz w:val="14"/>
                <w:szCs w:val="14"/>
                <w:lang w:val="en-GB"/>
              </w:rPr>
            </w:pPr>
            <w:r w:rsidRPr="00007543">
              <w:rPr>
                <w:rFonts w:ascii="Arial" w:hAnsi="Arial" w:cs="Arial"/>
                <w:i/>
                <w:sz w:val="14"/>
                <w:szCs w:val="14"/>
                <w:lang w:val="en-GB"/>
              </w:rPr>
              <w:t>Oral exam</w:t>
            </w:r>
          </w:p>
        </w:tc>
        <w:tc>
          <w:tcPr>
            <w:tcW w:w="1134" w:type="dxa"/>
            <w:gridSpan w:val="3"/>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Yes</w:t>
            </w:r>
          </w:p>
        </w:tc>
        <w:tc>
          <w:tcPr>
            <w:tcW w:w="1150" w:type="dxa"/>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30</w:t>
            </w:r>
          </w:p>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30</w:t>
            </w:r>
          </w:p>
        </w:tc>
      </w:tr>
      <w:tr w:rsidR="00007543" w:rsidRPr="00007543" w:rsidTr="003E5744">
        <w:tc>
          <w:tcPr>
            <w:tcW w:w="2376" w:type="dxa"/>
            <w:gridSpan w:val="3"/>
            <w:shd w:val="clear" w:color="auto" w:fill="auto"/>
            <w:vAlign w:val="center"/>
          </w:tcPr>
          <w:p w:rsidR="00007543" w:rsidRPr="00007543" w:rsidRDefault="00007543" w:rsidP="00007543">
            <w:pPr>
              <w:spacing w:after="0" w:line="240" w:lineRule="auto"/>
              <w:rPr>
                <w:sz w:val="18"/>
                <w:szCs w:val="18"/>
                <w:lang w:val="en-GB"/>
              </w:rPr>
            </w:pPr>
            <w:r w:rsidRPr="00007543">
              <w:rPr>
                <w:sz w:val="18"/>
                <w:szCs w:val="18"/>
                <w:lang w:val="en-GB"/>
              </w:rPr>
              <w:t>Case Study</w:t>
            </w:r>
          </w:p>
        </w:tc>
        <w:tc>
          <w:tcPr>
            <w:tcW w:w="1134" w:type="dxa"/>
            <w:shd w:val="clear" w:color="auto" w:fill="auto"/>
            <w:vAlign w:val="center"/>
          </w:tcPr>
          <w:p w:rsidR="00007543" w:rsidRPr="00007543" w:rsidRDefault="00007543" w:rsidP="00007543">
            <w:pPr>
              <w:spacing w:after="0" w:line="240" w:lineRule="auto"/>
              <w:jc w:val="center"/>
              <w:rPr>
                <w:lang w:val="en-GB"/>
              </w:rPr>
            </w:pPr>
            <w:r w:rsidRPr="00007543">
              <w:rPr>
                <w:rFonts w:ascii="Arial" w:hAnsi="Arial" w:cs="Arial"/>
                <w:sz w:val="16"/>
                <w:szCs w:val="16"/>
                <w:lang w:val="en-GB"/>
              </w:rPr>
              <w:t>Yes/No</w:t>
            </w:r>
          </w:p>
        </w:tc>
        <w:tc>
          <w:tcPr>
            <w:tcW w:w="1301" w:type="dxa"/>
            <w:gridSpan w:val="2"/>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10</w:t>
            </w:r>
          </w:p>
        </w:tc>
        <w:tc>
          <w:tcPr>
            <w:tcW w:w="4811" w:type="dxa"/>
            <w:gridSpan w:val="6"/>
            <w:vMerge w:val="restart"/>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p>
        </w:tc>
      </w:tr>
      <w:tr w:rsidR="00007543" w:rsidRPr="00007543" w:rsidTr="003E5744">
        <w:tc>
          <w:tcPr>
            <w:tcW w:w="2376" w:type="dxa"/>
            <w:gridSpan w:val="3"/>
            <w:shd w:val="clear" w:color="auto" w:fill="auto"/>
            <w:vAlign w:val="center"/>
          </w:tcPr>
          <w:p w:rsidR="00007543" w:rsidRPr="00007543" w:rsidRDefault="00007543" w:rsidP="00007543">
            <w:pPr>
              <w:spacing w:after="0" w:line="240" w:lineRule="auto"/>
              <w:rPr>
                <w:sz w:val="18"/>
                <w:szCs w:val="18"/>
                <w:lang w:val="en-GB"/>
              </w:rPr>
            </w:pPr>
            <w:r w:rsidRPr="00007543">
              <w:rPr>
                <w:sz w:val="18"/>
                <w:szCs w:val="18"/>
                <w:lang w:val="en-GB"/>
              </w:rPr>
              <w:t>Business plan analysis</w:t>
            </w:r>
          </w:p>
        </w:tc>
        <w:tc>
          <w:tcPr>
            <w:tcW w:w="1134" w:type="dxa"/>
            <w:shd w:val="clear" w:color="auto" w:fill="auto"/>
            <w:vAlign w:val="center"/>
          </w:tcPr>
          <w:p w:rsidR="00007543" w:rsidRPr="00007543" w:rsidRDefault="00007543" w:rsidP="00007543">
            <w:pPr>
              <w:spacing w:after="0" w:line="240" w:lineRule="auto"/>
              <w:jc w:val="center"/>
              <w:rPr>
                <w:lang w:val="en-GB"/>
              </w:rPr>
            </w:pPr>
            <w:r w:rsidRPr="00007543">
              <w:rPr>
                <w:rFonts w:ascii="Arial" w:hAnsi="Arial" w:cs="Arial"/>
                <w:sz w:val="16"/>
                <w:szCs w:val="16"/>
                <w:lang w:val="en-GB"/>
              </w:rPr>
              <w:t>Yes/No</w:t>
            </w:r>
          </w:p>
        </w:tc>
        <w:tc>
          <w:tcPr>
            <w:tcW w:w="1301" w:type="dxa"/>
            <w:gridSpan w:val="2"/>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10</w:t>
            </w:r>
          </w:p>
        </w:tc>
        <w:tc>
          <w:tcPr>
            <w:tcW w:w="4811" w:type="dxa"/>
            <w:gridSpan w:val="6"/>
            <w:vMerge/>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p>
        </w:tc>
      </w:tr>
      <w:tr w:rsidR="00007543" w:rsidRPr="00007543" w:rsidTr="003E5744">
        <w:trPr>
          <w:gridAfter w:val="2"/>
          <w:wAfter w:w="1301" w:type="dxa"/>
        </w:trPr>
        <w:tc>
          <w:tcPr>
            <w:tcW w:w="2376" w:type="dxa"/>
            <w:gridSpan w:val="3"/>
            <w:tcBorders>
              <w:bottom w:val="single" w:sz="4" w:space="0" w:color="auto"/>
            </w:tcBorders>
            <w:shd w:val="clear" w:color="auto" w:fill="auto"/>
            <w:vAlign w:val="center"/>
          </w:tcPr>
          <w:p w:rsidR="00007543" w:rsidRPr="00007543" w:rsidRDefault="00007543" w:rsidP="00007543">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007543" w:rsidRPr="00007543" w:rsidRDefault="00007543" w:rsidP="00007543">
            <w:pPr>
              <w:spacing w:after="0" w:line="240" w:lineRule="auto"/>
              <w:jc w:val="center"/>
              <w:rPr>
                <w:lang w:val="en-GB"/>
              </w:rPr>
            </w:pPr>
            <w:r w:rsidRPr="00007543">
              <w:rPr>
                <w:rFonts w:ascii="Arial" w:hAnsi="Arial" w:cs="Arial"/>
                <w:sz w:val="16"/>
                <w:szCs w:val="16"/>
                <w:lang w:val="en-GB"/>
              </w:rPr>
              <w:t>Yes/No</w:t>
            </w:r>
          </w:p>
        </w:tc>
        <w:tc>
          <w:tcPr>
            <w:tcW w:w="4811" w:type="dxa"/>
            <w:gridSpan w:val="6"/>
            <w:tcBorders>
              <w:bottom w:val="single" w:sz="4" w:space="0" w:color="auto"/>
            </w:tcBorders>
            <w:shd w:val="clear" w:color="auto" w:fill="auto"/>
            <w:vAlign w:val="center"/>
          </w:tcPr>
          <w:p w:rsidR="00007543" w:rsidRPr="00007543" w:rsidRDefault="00007543" w:rsidP="00007543">
            <w:pPr>
              <w:spacing w:after="0" w:line="240" w:lineRule="auto"/>
              <w:jc w:val="center"/>
              <w:rPr>
                <w:rFonts w:ascii="Arial" w:hAnsi="Arial" w:cs="Arial"/>
                <w:sz w:val="16"/>
                <w:szCs w:val="16"/>
                <w:lang w:val="en-GB"/>
              </w:rPr>
            </w:pPr>
          </w:p>
        </w:tc>
      </w:tr>
      <w:tr w:rsidR="00007543" w:rsidRPr="00007543" w:rsidTr="003E5744">
        <w:tc>
          <w:tcPr>
            <w:tcW w:w="9622" w:type="dxa"/>
            <w:gridSpan w:val="12"/>
            <w:shd w:val="clear" w:color="auto" w:fill="C2D69B" w:themeFill="accent3" w:themeFillTint="99"/>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 xml:space="preserve">Literature </w:t>
            </w:r>
          </w:p>
        </w:tc>
      </w:tr>
      <w:tr w:rsidR="00007543" w:rsidRPr="00007543" w:rsidTr="003E5744">
        <w:tc>
          <w:tcPr>
            <w:tcW w:w="675" w:type="dxa"/>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Ord.</w:t>
            </w:r>
          </w:p>
        </w:tc>
        <w:tc>
          <w:tcPr>
            <w:tcW w:w="1701" w:type="dxa"/>
            <w:gridSpan w:val="2"/>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Author</w:t>
            </w:r>
          </w:p>
        </w:tc>
        <w:tc>
          <w:tcPr>
            <w:tcW w:w="2435" w:type="dxa"/>
            <w:gridSpan w:val="3"/>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Title</w:t>
            </w:r>
          </w:p>
        </w:tc>
        <w:tc>
          <w:tcPr>
            <w:tcW w:w="3661" w:type="dxa"/>
            <w:gridSpan w:val="5"/>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Publisher</w:t>
            </w:r>
          </w:p>
        </w:tc>
        <w:tc>
          <w:tcPr>
            <w:tcW w:w="1150" w:type="dxa"/>
            <w:vAlign w:val="center"/>
          </w:tcPr>
          <w:p w:rsidR="00007543" w:rsidRPr="00007543" w:rsidRDefault="00007543" w:rsidP="00007543">
            <w:pPr>
              <w:spacing w:after="0" w:line="240" w:lineRule="auto"/>
              <w:jc w:val="center"/>
              <w:rPr>
                <w:rFonts w:ascii="Arial" w:hAnsi="Arial" w:cs="Arial"/>
                <w:sz w:val="16"/>
                <w:szCs w:val="16"/>
                <w:lang w:val="en-GB"/>
              </w:rPr>
            </w:pPr>
            <w:r w:rsidRPr="00007543">
              <w:rPr>
                <w:rFonts w:ascii="Arial" w:hAnsi="Arial" w:cs="Arial"/>
                <w:sz w:val="16"/>
                <w:szCs w:val="16"/>
                <w:lang w:val="en-GB"/>
              </w:rPr>
              <w:t>Year</w:t>
            </w:r>
          </w:p>
        </w:tc>
      </w:tr>
      <w:tr w:rsidR="00007543" w:rsidRPr="00007543" w:rsidTr="003E5744">
        <w:tc>
          <w:tcPr>
            <w:tcW w:w="675" w:type="dxa"/>
            <w:vAlign w:val="center"/>
          </w:tcPr>
          <w:p w:rsidR="00007543" w:rsidRPr="00007543" w:rsidRDefault="00007543" w:rsidP="00007543">
            <w:pPr>
              <w:numPr>
                <w:ilvl w:val="0"/>
                <w:numId w:val="4"/>
              </w:numPr>
              <w:spacing w:after="0" w:line="168" w:lineRule="auto"/>
              <w:contextualSpacing/>
              <w:jc w:val="center"/>
              <w:rPr>
                <w:rFonts w:ascii="Arial" w:hAnsi="Arial" w:cs="Arial"/>
                <w:sz w:val="16"/>
                <w:szCs w:val="16"/>
                <w:lang w:val="en-GB"/>
              </w:rPr>
            </w:pPr>
          </w:p>
        </w:tc>
        <w:tc>
          <w:tcPr>
            <w:tcW w:w="1701" w:type="dxa"/>
            <w:gridSpan w:val="2"/>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Milić</w:t>
            </w:r>
            <w:proofErr w:type="spellEnd"/>
            <w:r w:rsidRPr="00007543">
              <w:rPr>
                <w:rFonts w:cs="Arial"/>
                <w:sz w:val="18"/>
                <w:szCs w:val="18"/>
                <w:lang w:val="en-GB"/>
              </w:rPr>
              <w:t xml:space="preserve"> </w:t>
            </w:r>
            <w:proofErr w:type="spellStart"/>
            <w:r w:rsidRPr="00007543">
              <w:rPr>
                <w:rFonts w:cs="Arial"/>
                <w:sz w:val="18"/>
                <w:szCs w:val="18"/>
                <w:lang w:val="en-GB"/>
              </w:rPr>
              <w:t>D.,Kalanović</w:t>
            </w:r>
            <w:proofErr w:type="spellEnd"/>
            <w:r w:rsidRPr="00007543">
              <w:rPr>
                <w:rFonts w:cs="Arial"/>
                <w:sz w:val="18"/>
                <w:szCs w:val="18"/>
                <w:lang w:val="en-GB"/>
              </w:rPr>
              <w:t xml:space="preserve"> </w:t>
            </w:r>
            <w:proofErr w:type="spellStart"/>
            <w:r w:rsidRPr="00007543">
              <w:rPr>
                <w:rFonts w:cs="Arial"/>
                <w:sz w:val="18"/>
                <w:szCs w:val="18"/>
                <w:lang w:val="en-GB"/>
              </w:rPr>
              <w:t>Bulatović</w:t>
            </w:r>
            <w:proofErr w:type="spellEnd"/>
            <w:r w:rsidRPr="00007543">
              <w:rPr>
                <w:rFonts w:cs="Arial"/>
                <w:sz w:val="18"/>
                <w:szCs w:val="18"/>
                <w:lang w:val="en-GB"/>
              </w:rPr>
              <w:t xml:space="preserve"> Branka, </w:t>
            </w:r>
            <w:proofErr w:type="spellStart"/>
            <w:r w:rsidRPr="00007543">
              <w:rPr>
                <w:rFonts w:cs="Arial"/>
                <w:sz w:val="18"/>
                <w:szCs w:val="18"/>
                <w:lang w:val="en-GB"/>
              </w:rPr>
              <w:t>Veljković</w:t>
            </w:r>
            <w:proofErr w:type="spellEnd"/>
            <w:r w:rsidRPr="00007543">
              <w:rPr>
                <w:rFonts w:cs="Arial"/>
                <w:sz w:val="18"/>
                <w:szCs w:val="18"/>
                <w:lang w:val="en-GB"/>
              </w:rPr>
              <w:t xml:space="preserve"> Biljana</w:t>
            </w:r>
          </w:p>
        </w:tc>
        <w:tc>
          <w:tcPr>
            <w:tcW w:w="2435" w:type="dxa"/>
            <w:gridSpan w:val="3"/>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Menadžment</w:t>
            </w:r>
            <w:proofErr w:type="spellEnd"/>
            <w:r w:rsidRPr="00007543">
              <w:rPr>
                <w:rFonts w:cs="Arial"/>
                <w:sz w:val="18"/>
                <w:szCs w:val="18"/>
                <w:lang w:val="en-GB"/>
              </w:rPr>
              <w:t xml:space="preserve"> i </w:t>
            </w:r>
            <w:proofErr w:type="spellStart"/>
            <w:r w:rsidRPr="00007543">
              <w:rPr>
                <w:rFonts w:cs="Arial"/>
                <w:sz w:val="18"/>
                <w:szCs w:val="18"/>
                <w:lang w:val="en-GB"/>
              </w:rPr>
              <w:t>organizacija</w:t>
            </w:r>
            <w:proofErr w:type="spellEnd"/>
            <w:r w:rsidRPr="00007543">
              <w:rPr>
                <w:rFonts w:cs="Arial"/>
                <w:sz w:val="18"/>
                <w:szCs w:val="18"/>
                <w:lang w:val="en-GB"/>
              </w:rPr>
              <w:t xml:space="preserve"> </w:t>
            </w:r>
            <w:proofErr w:type="spellStart"/>
            <w:r w:rsidRPr="00007543">
              <w:rPr>
                <w:rFonts w:cs="Arial"/>
                <w:sz w:val="18"/>
                <w:szCs w:val="18"/>
                <w:lang w:val="en-GB"/>
              </w:rPr>
              <w:t>voćarsko-vinogradarske</w:t>
            </w:r>
            <w:proofErr w:type="spellEnd"/>
            <w:r w:rsidRPr="00007543">
              <w:rPr>
                <w:rFonts w:cs="Arial"/>
                <w:sz w:val="18"/>
                <w:szCs w:val="18"/>
                <w:lang w:val="en-GB"/>
              </w:rPr>
              <w:t xml:space="preserve"> </w:t>
            </w:r>
            <w:proofErr w:type="spellStart"/>
            <w:r w:rsidRPr="00007543">
              <w:rPr>
                <w:rFonts w:cs="Arial"/>
                <w:sz w:val="18"/>
                <w:szCs w:val="18"/>
                <w:lang w:val="en-GB"/>
              </w:rPr>
              <w:t>proizvodnje</w:t>
            </w:r>
            <w:proofErr w:type="spellEnd"/>
          </w:p>
        </w:tc>
        <w:tc>
          <w:tcPr>
            <w:tcW w:w="3661" w:type="dxa"/>
            <w:gridSpan w:val="5"/>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 xml:space="preserve">Agronomski fakultet, </w:t>
            </w:r>
            <w:proofErr w:type="spellStart"/>
            <w:r w:rsidRPr="00007543">
              <w:rPr>
                <w:rFonts w:cs="Arial"/>
                <w:sz w:val="18"/>
                <w:szCs w:val="18"/>
                <w:lang w:val="en-GB"/>
              </w:rPr>
              <w:t>Čačak</w:t>
            </w:r>
            <w:proofErr w:type="spellEnd"/>
          </w:p>
        </w:tc>
        <w:tc>
          <w:tcPr>
            <w:tcW w:w="1150" w:type="dxa"/>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2013</w:t>
            </w:r>
          </w:p>
        </w:tc>
      </w:tr>
      <w:tr w:rsidR="00007543" w:rsidRPr="00007543" w:rsidTr="003E5744">
        <w:tc>
          <w:tcPr>
            <w:tcW w:w="675" w:type="dxa"/>
            <w:vAlign w:val="center"/>
          </w:tcPr>
          <w:p w:rsidR="00007543" w:rsidRPr="00007543" w:rsidRDefault="00007543" w:rsidP="00007543">
            <w:pPr>
              <w:numPr>
                <w:ilvl w:val="0"/>
                <w:numId w:val="4"/>
              </w:numPr>
              <w:spacing w:after="0" w:line="168" w:lineRule="auto"/>
              <w:contextualSpacing/>
              <w:jc w:val="center"/>
              <w:rPr>
                <w:rFonts w:ascii="Arial" w:hAnsi="Arial" w:cs="Arial"/>
                <w:sz w:val="16"/>
                <w:szCs w:val="16"/>
                <w:lang w:val="en-GB"/>
              </w:rPr>
            </w:pPr>
          </w:p>
        </w:tc>
        <w:tc>
          <w:tcPr>
            <w:tcW w:w="1701" w:type="dxa"/>
            <w:gridSpan w:val="2"/>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Sredojević</w:t>
            </w:r>
            <w:proofErr w:type="spellEnd"/>
            <w:r w:rsidRPr="00007543">
              <w:rPr>
                <w:rFonts w:cs="Arial"/>
                <w:sz w:val="18"/>
                <w:szCs w:val="18"/>
                <w:lang w:val="en-GB"/>
              </w:rPr>
              <w:t xml:space="preserve"> Zorica</w:t>
            </w:r>
          </w:p>
        </w:tc>
        <w:tc>
          <w:tcPr>
            <w:tcW w:w="2435" w:type="dxa"/>
            <w:gridSpan w:val="3"/>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Troškovi</w:t>
            </w:r>
            <w:proofErr w:type="spellEnd"/>
            <w:r w:rsidRPr="00007543">
              <w:rPr>
                <w:rFonts w:cs="Arial"/>
                <w:sz w:val="18"/>
                <w:szCs w:val="18"/>
                <w:lang w:val="en-GB"/>
              </w:rPr>
              <w:t xml:space="preserve"> </w:t>
            </w:r>
            <w:proofErr w:type="spellStart"/>
            <w:r w:rsidRPr="00007543">
              <w:rPr>
                <w:rFonts w:cs="Arial"/>
                <w:sz w:val="18"/>
                <w:szCs w:val="18"/>
                <w:lang w:val="en-GB"/>
              </w:rPr>
              <w:t>bezbednosti</w:t>
            </w:r>
            <w:proofErr w:type="spellEnd"/>
            <w:r w:rsidRPr="00007543">
              <w:rPr>
                <w:rFonts w:cs="Arial"/>
                <w:sz w:val="18"/>
                <w:szCs w:val="18"/>
                <w:lang w:val="en-GB"/>
              </w:rPr>
              <w:t xml:space="preserve"> i </w:t>
            </w:r>
            <w:proofErr w:type="spellStart"/>
            <w:r w:rsidRPr="00007543">
              <w:rPr>
                <w:rFonts w:cs="Arial"/>
                <w:sz w:val="18"/>
                <w:szCs w:val="18"/>
                <w:lang w:val="en-GB"/>
              </w:rPr>
              <w:t>kvaliteta</w:t>
            </w:r>
            <w:proofErr w:type="spellEnd"/>
            <w:r w:rsidRPr="00007543">
              <w:rPr>
                <w:rFonts w:cs="Arial"/>
                <w:sz w:val="18"/>
                <w:szCs w:val="18"/>
                <w:lang w:val="en-GB"/>
              </w:rPr>
              <w:t xml:space="preserve"> </w:t>
            </w:r>
            <w:proofErr w:type="spellStart"/>
            <w:r w:rsidRPr="00007543">
              <w:rPr>
                <w:rFonts w:cs="Arial"/>
                <w:sz w:val="18"/>
                <w:szCs w:val="18"/>
                <w:lang w:val="en-GB"/>
              </w:rPr>
              <w:t>hrane</w:t>
            </w:r>
            <w:proofErr w:type="spellEnd"/>
          </w:p>
        </w:tc>
        <w:tc>
          <w:tcPr>
            <w:tcW w:w="3661" w:type="dxa"/>
            <w:gridSpan w:val="5"/>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Poljoprivredni</w:t>
            </w:r>
            <w:proofErr w:type="spellEnd"/>
            <w:r w:rsidRPr="00007543">
              <w:rPr>
                <w:rFonts w:cs="Arial"/>
                <w:sz w:val="18"/>
                <w:szCs w:val="18"/>
                <w:lang w:val="en-GB"/>
              </w:rPr>
              <w:t xml:space="preserve"> fakultet,  Beograd</w:t>
            </w:r>
          </w:p>
        </w:tc>
        <w:tc>
          <w:tcPr>
            <w:tcW w:w="1150" w:type="dxa"/>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2011</w:t>
            </w:r>
          </w:p>
        </w:tc>
      </w:tr>
      <w:tr w:rsidR="00007543" w:rsidRPr="00007543" w:rsidTr="003E5744">
        <w:tc>
          <w:tcPr>
            <w:tcW w:w="675" w:type="dxa"/>
            <w:vAlign w:val="center"/>
          </w:tcPr>
          <w:p w:rsidR="00007543" w:rsidRPr="00007543" w:rsidRDefault="00007543" w:rsidP="00007543">
            <w:pPr>
              <w:numPr>
                <w:ilvl w:val="0"/>
                <w:numId w:val="4"/>
              </w:numPr>
              <w:spacing w:after="0" w:line="168" w:lineRule="auto"/>
              <w:contextualSpacing/>
              <w:jc w:val="center"/>
              <w:rPr>
                <w:rFonts w:ascii="Arial" w:hAnsi="Arial" w:cs="Arial"/>
                <w:sz w:val="16"/>
                <w:szCs w:val="16"/>
                <w:lang w:val="en-GB"/>
              </w:rPr>
            </w:pPr>
          </w:p>
        </w:tc>
        <w:tc>
          <w:tcPr>
            <w:tcW w:w="1701" w:type="dxa"/>
            <w:gridSpan w:val="2"/>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Milić</w:t>
            </w:r>
            <w:proofErr w:type="spellEnd"/>
            <w:r w:rsidRPr="00007543">
              <w:rPr>
                <w:rFonts w:cs="Arial"/>
                <w:sz w:val="18"/>
                <w:szCs w:val="18"/>
                <w:lang w:val="en-GB"/>
              </w:rPr>
              <w:t xml:space="preserve"> D., </w:t>
            </w:r>
            <w:proofErr w:type="spellStart"/>
            <w:r w:rsidRPr="00007543">
              <w:rPr>
                <w:rFonts w:cs="Arial"/>
                <w:sz w:val="18"/>
                <w:szCs w:val="18"/>
                <w:lang w:val="en-GB"/>
              </w:rPr>
              <w:t>Popović</w:t>
            </w:r>
            <w:proofErr w:type="spellEnd"/>
            <w:r w:rsidRPr="00007543">
              <w:rPr>
                <w:rFonts w:cs="Arial"/>
                <w:sz w:val="18"/>
                <w:szCs w:val="18"/>
                <w:lang w:val="en-GB"/>
              </w:rPr>
              <w:t xml:space="preserve"> N., </w:t>
            </w:r>
            <w:proofErr w:type="spellStart"/>
            <w:r w:rsidRPr="00007543">
              <w:rPr>
                <w:rFonts w:cs="Arial"/>
                <w:sz w:val="18"/>
                <w:szCs w:val="18"/>
                <w:lang w:val="en-GB"/>
              </w:rPr>
              <w:t>Lukač</w:t>
            </w:r>
            <w:proofErr w:type="spellEnd"/>
            <w:r w:rsidRPr="00007543">
              <w:rPr>
                <w:rFonts w:cs="Arial"/>
                <w:sz w:val="18"/>
                <w:szCs w:val="18"/>
                <w:lang w:val="en-GB"/>
              </w:rPr>
              <w:t xml:space="preserve"> </w:t>
            </w:r>
            <w:proofErr w:type="spellStart"/>
            <w:r w:rsidRPr="00007543">
              <w:rPr>
                <w:rFonts w:cs="Arial"/>
                <w:sz w:val="18"/>
                <w:szCs w:val="18"/>
                <w:lang w:val="en-GB"/>
              </w:rPr>
              <w:t>Bulatović</w:t>
            </w:r>
            <w:proofErr w:type="spellEnd"/>
            <w:r w:rsidRPr="00007543">
              <w:rPr>
                <w:rFonts w:cs="Arial"/>
                <w:sz w:val="18"/>
                <w:szCs w:val="18"/>
                <w:lang w:val="en-GB"/>
              </w:rPr>
              <w:t xml:space="preserve"> Mirjana</w:t>
            </w:r>
          </w:p>
        </w:tc>
        <w:tc>
          <w:tcPr>
            <w:tcW w:w="2435" w:type="dxa"/>
            <w:gridSpan w:val="3"/>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Economic Aspects of Organic Production Development, Contemporary agriculture Vol.59, No.3-4,(p.242-249)</w:t>
            </w:r>
          </w:p>
        </w:tc>
        <w:tc>
          <w:tcPr>
            <w:tcW w:w="3661" w:type="dxa"/>
            <w:gridSpan w:val="5"/>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Faculty of Agriculture, Novi Sad</w:t>
            </w:r>
          </w:p>
        </w:tc>
        <w:tc>
          <w:tcPr>
            <w:tcW w:w="1150" w:type="dxa"/>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2010</w:t>
            </w:r>
          </w:p>
        </w:tc>
      </w:tr>
      <w:tr w:rsidR="00007543" w:rsidRPr="00007543" w:rsidTr="003E5744">
        <w:tc>
          <w:tcPr>
            <w:tcW w:w="675" w:type="dxa"/>
            <w:vAlign w:val="center"/>
          </w:tcPr>
          <w:p w:rsidR="00007543" w:rsidRPr="00007543" w:rsidRDefault="00007543" w:rsidP="00007543">
            <w:pPr>
              <w:numPr>
                <w:ilvl w:val="0"/>
                <w:numId w:val="4"/>
              </w:numPr>
              <w:spacing w:after="0" w:line="168" w:lineRule="auto"/>
              <w:contextualSpacing/>
              <w:jc w:val="center"/>
              <w:rPr>
                <w:rFonts w:ascii="Arial" w:hAnsi="Arial" w:cs="Arial"/>
                <w:sz w:val="16"/>
                <w:szCs w:val="16"/>
                <w:lang w:val="en-GB"/>
              </w:rPr>
            </w:pPr>
          </w:p>
        </w:tc>
        <w:tc>
          <w:tcPr>
            <w:tcW w:w="1701" w:type="dxa"/>
            <w:gridSpan w:val="2"/>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Milić</w:t>
            </w:r>
            <w:proofErr w:type="spellEnd"/>
            <w:r w:rsidRPr="00007543">
              <w:rPr>
                <w:rFonts w:cs="Arial"/>
                <w:sz w:val="18"/>
                <w:szCs w:val="18"/>
                <w:lang w:val="en-GB"/>
              </w:rPr>
              <w:t xml:space="preserve"> </w:t>
            </w:r>
            <w:proofErr w:type="spellStart"/>
            <w:r w:rsidRPr="00007543">
              <w:rPr>
                <w:rFonts w:cs="Arial"/>
                <w:sz w:val="18"/>
                <w:szCs w:val="18"/>
                <w:lang w:val="en-GB"/>
              </w:rPr>
              <w:t>D.,Kalanović</w:t>
            </w:r>
            <w:proofErr w:type="spellEnd"/>
            <w:r w:rsidRPr="00007543">
              <w:rPr>
                <w:rFonts w:cs="Arial"/>
                <w:sz w:val="18"/>
                <w:szCs w:val="18"/>
                <w:lang w:val="en-GB"/>
              </w:rPr>
              <w:t xml:space="preserve"> </w:t>
            </w:r>
            <w:proofErr w:type="spellStart"/>
            <w:r w:rsidRPr="00007543">
              <w:rPr>
                <w:rFonts w:cs="Arial"/>
                <w:sz w:val="18"/>
                <w:szCs w:val="18"/>
                <w:lang w:val="en-GB"/>
              </w:rPr>
              <w:t>Bulatović</w:t>
            </w:r>
            <w:proofErr w:type="spellEnd"/>
            <w:r w:rsidRPr="00007543">
              <w:rPr>
                <w:rFonts w:cs="Arial"/>
                <w:sz w:val="18"/>
                <w:szCs w:val="18"/>
                <w:lang w:val="en-GB"/>
              </w:rPr>
              <w:t xml:space="preserve"> Branka, </w:t>
            </w:r>
            <w:proofErr w:type="spellStart"/>
            <w:r w:rsidRPr="00007543">
              <w:rPr>
                <w:rFonts w:cs="Arial"/>
                <w:sz w:val="18"/>
                <w:szCs w:val="18"/>
                <w:lang w:val="en-GB"/>
              </w:rPr>
              <w:t>Trmčić</w:t>
            </w:r>
            <w:proofErr w:type="spellEnd"/>
            <w:r w:rsidRPr="00007543">
              <w:rPr>
                <w:rFonts w:cs="Arial"/>
                <w:sz w:val="18"/>
                <w:szCs w:val="18"/>
                <w:lang w:val="en-GB"/>
              </w:rPr>
              <w:t xml:space="preserve"> </w:t>
            </w:r>
            <w:proofErr w:type="spellStart"/>
            <w:r w:rsidRPr="00007543">
              <w:rPr>
                <w:rFonts w:cs="Arial"/>
                <w:sz w:val="18"/>
                <w:szCs w:val="18"/>
                <w:lang w:val="en-GB"/>
              </w:rPr>
              <w:t>Snežana</w:t>
            </w:r>
            <w:proofErr w:type="spellEnd"/>
          </w:p>
        </w:tc>
        <w:tc>
          <w:tcPr>
            <w:tcW w:w="2435" w:type="dxa"/>
            <w:gridSpan w:val="3"/>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Menadžment</w:t>
            </w:r>
            <w:proofErr w:type="spellEnd"/>
            <w:r w:rsidRPr="00007543">
              <w:rPr>
                <w:rFonts w:cs="Arial"/>
                <w:sz w:val="18"/>
                <w:szCs w:val="18"/>
                <w:lang w:val="en-GB"/>
              </w:rPr>
              <w:t xml:space="preserve"> </w:t>
            </w:r>
            <w:proofErr w:type="spellStart"/>
            <w:r w:rsidRPr="00007543">
              <w:rPr>
                <w:rFonts w:cs="Arial"/>
                <w:sz w:val="18"/>
                <w:szCs w:val="18"/>
                <w:lang w:val="en-GB"/>
              </w:rPr>
              <w:t>proizvodnje</w:t>
            </w:r>
            <w:proofErr w:type="spellEnd"/>
            <w:r w:rsidRPr="00007543">
              <w:rPr>
                <w:rFonts w:cs="Arial"/>
                <w:sz w:val="18"/>
                <w:szCs w:val="18"/>
                <w:lang w:val="en-GB"/>
              </w:rPr>
              <w:t xml:space="preserve"> </w:t>
            </w:r>
            <w:proofErr w:type="spellStart"/>
            <w:r w:rsidRPr="00007543">
              <w:rPr>
                <w:rFonts w:cs="Arial"/>
                <w:sz w:val="18"/>
                <w:szCs w:val="18"/>
                <w:lang w:val="en-GB"/>
              </w:rPr>
              <w:t>voća</w:t>
            </w:r>
            <w:proofErr w:type="spellEnd"/>
            <w:r w:rsidRPr="00007543">
              <w:rPr>
                <w:rFonts w:cs="Arial"/>
                <w:sz w:val="18"/>
                <w:szCs w:val="18"/>
                <w:lang w:val="en-GB"/>
              </w:rPr>
              <w:t xml:space="preserve"> i </w:t>
            </w:r>
            <w:proofErr w:type="spellStart"/>
            <w:r w:rsidRPr="00007543">
              <w:rPr>
                <w:rFonts w:cs="Arial"/>
                <w:sz w:val="18"/>
                <w:szCs w:val="18"/>
                <w:lang w:val="en-GB"/>
              </w:rPr>
              <w:t>grožđa</w:t>
            </w:r>
            <w:proofErr w:type="spellEnd"/>
            <w:r w:rsidRPr="00007543">
              <w:rPr>
                <w:rFonts w:cs="Arial"/>
                <w:sz w:val="18"/>
                <w:szCs w:val="18"/>
                <w:lang w:val="en-GB"/>
              </w:rPr>
              <w:t xml:space="preserve">, </w:t>
            </w:r>
            <w:proofErr w:type="spellStart"/>
            <w:r w:rsidRPr="00007543">
              <w:rPr>
                <w:rFonts w:cs="Arial"/>
                <w:sz w:val="18"/>
                <w:szCs w:val="18"/>
                <w:lang w:val="en-GB"/>
              </w:rPr>
              <w:t>monografija</w:t>
            </w:r>
            <w:proofErr w:type="spellEnd"/>
          </w:p>
        </w:tc>
        <w:tc>
          <w:tcPr>
            <w:tcW w:w="3661" w:type="dxa"/>
            <w:gridSpan w:val="5"/>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cs="Arial"/>
                <w:sz w:val="18"/>
                <w:szCs w:val="18"/>
                <w:lang w:val="en-GB"/>
              </w:rPr>
              <w:t>Poljoprivredni</w:t>
            </w:r>
            <w:proofErr w:type="spellEnd"/>
            <w:r w:rsidRPr="00007543">
              <w:rPr>
                <w:rFonts w:cs="Arial"/>
                <w:sz w:val="18"/>
                <w:szCs w:val="18"/>
                <w:lang w:val="en-GB"/>
              </w:rPr>
              <w:t xml:space="preserve"> fakultet, Novi Sad</w:t>
            </w:r>
          </w:p>
        </w:tc>
        <w:tc>
          <w:tcPr>
            <w:tcW w:w="1150" w:type="dxa"/>
            <w:vAlign w:val="center"/>
          </w:tcPr>
          <w:p w:rsidR="00007543" w:rsidRPr="00007543" w:rsidRDefault="00007543" w:rsidP="00007543">
            <w:pPr>
              <w:spacing w:after="0" w:line="168" w:lineRule="auto"/>
              <w:jc w:val="center"/>
              <w:rPr>
                <w:rFonts w:cs="Arial"/>
                <w:sz w:val="18"/>
                <w:szCs w:val="18"/>
                <w:lang w:val="en-GB"/>
              </w:rPr>
            </w:pPr>
            <w:r w:rsidRPr="00007543">
              <w:rPr>
                <w:rFonts w:cs="Arial"/>
                <w:sz w:val="18"/>
                <w:szCs w:val="18"/>
                <w:lang w:val="en-GB"/>
              </w:rPr>
              <w:t>2009</w:t>
            </w:r>
          </w:p>
        </w:tc>
      </w:tr>
      <w:tr w:rsidR="00007543" w:rsidRPr="00007543" w:rsidTr="003E5744">
        <w:trPr>
          <w:trHeight w:val="437"/>
        </w:trPr>
        <w:tc>
          <w:tcPr>
            <w:tcW w:w="675" w:type="dxa"/>
            <w:vAlign w:val="center"/>
          </w:tcPr>
          <w:p w:rsidR="00007543" w:rsidRPr="00007543" w:rsidRDefault="00007543" w:rsidP="00007543">
            <w:pPr>
              <w:numPr>
                <w:ilvl w:val="0"/>
                <w:numId w:val="4"/>
              </w:numPr>
              <w:spacing w:after="0" w:line="168" w:lineRule="auto"/>
              <w:contextualSpacing/>
              <w:jc w:val="center"/>
              <w:rPr>
                <w:rFonts w:ascii="Arial" w:hAnsi="Arial" w:cs="Arial"/>
                <w:sz w:val="16"/>
                <w:szCs w:val="16"/>
                <w:lang w:val="en-GB"/>
              </w:rPr>
            </w:pPr>
          </w:p>
        </w:tc>
        <w:tc>
          <w:tcPr>
            <w:tcW w:w="1701" w:type="dxa"/>
            <w:gridSpan w:val="2"/>
            <w:vAlign w:val="center"/>
          </w:tcPr>
          <w:p w:rsidR="00007543" w:rsidRPr="00007543" w:rsidRDefault="00007543" w:rsidP="00007543">
            <w:pPr>
              <w:spacing w:after="0" w:line="168" w:lineRule="auto"/>
              <w:jc w:val="center"/>
              <w:rPr>
                <w:rFonts w:cs="Arial"/>
                <w:sz w:val="18"/>
                <w:szCs w:val="18"/>
                <w:lang w:val="en-GB"/>
              </w:rPr>
            </w:pPr>
            <w:proofErr w:type="spellStart"/>
            <w:r w:rsidRPr="00007543">
              <w:rPr>
                <w:rFonts w:eastAsia="Times New Roman" w:cs="Times New Roman"/>
                <w:sz w:val="18"/>
                <w:szCs w:val="18"/>
                <w:lang w:val="en-GB"/>
              </w:rPr>
              <w:t>Werth</w:t>
            </w:r>
            <w:proofErr w:type="spellEnd"/>
            <w:r w:rsidRPr="00007543">
              <w:rPr>
                <w:rFonts w:eastAsia="Times New Roman" w:cs="Times New Roman"/>
                <w:sz w:val="18"/>
                <w:szCs w:val="18"/>
                <w:lang w:val="en-GB"/>
              </w:rPr>
              <w:t>, K.</w:t>
            </w:r>
          </w:p>
        </w:tc>
        <w:tc>
          <w:tcPr>
            <w:tcW w:w="2435" w:type="dxa"/>
            <w:gridSpan w:val="3"/>
            <w:vAlign w:val="center"/>
          </w:tcPr>
          <w:p w:rsidR="00007543" w:rsidRPr="00007543" w:rsidRDefault="00007543" w:rsidP="00007543">
            <w:pPr>
              <w:spacing w:after="0" w:line="168" w:lineRule="auto"/>
              <w:jc w:val="center"/>
              <w:rPr>
                <w:rFonts w:cs="Arial"/>
                <w:sz w:val="18"/>
                <w:szCs w:val="18"/>
                <w:lang w:val="en-GB"/>
              </w:rPr>
            </w:pPr>
            <w:r w:rsidRPr="00007543">
              <w:rPr>
                <w:rFonts w:eastAsia="Times New Roman" w:cs="Times New Roman"/>
                <w:sz w:val="18"/>
                <w:szCs w:val="18"/>
                <w:lang w:val="en-GB"/>
              </w:rPr>
              <w:t>Colour and Quality</w:t>
            </w:r>
          </w:p>
        </w:tc>
        <w:tc>
          <w:tcPr>
            <w:tcW w:w="3661" w:type="dxa"/>
            <w:gridSpan w:val="5"/>
            <w:vAlign w:val="center"/>
          </w:tcPr>
          <w:p w:rsidR="00007543" w:rsidRPr="00007543" w:rsidRDefault="00007543" w:rsidP="00007543">
            <w:pPr>
              <w:spacing w:after="0" w:line="168" w:lineRule="auto"/>
              <w:jc w:val="center"/>
              <w:rPr>
                <w:rFonts w:cs="Arial"/>
                <w:sz w:val="18"/>
                <w:szCs w:val="18"/>
                <w:lang w:val="en-GB"/>
              </w:rPr>
            </w:pPr>
            <w:r w:rsidRPr="00007543">
              <w:rPr>
                <w:rFonts w:eastAsia="Times New Roman" w:cs="Times New Roman"/>
                <w:sz w:val="18"/>
                <w:szCs w:val="18"/>
                <w:lang w:val="en-GB"/>
              </w:rPr>
              <w:t xml:space="preserve">Association of South Tyrolean Fruit Growers’ Cooperatives, </w:t>
            </w:r>
            <w:proofErr w:type="spellStart"/>
            <w:r w:rsidRPr="00007543">
              <w:rPr>
                <w:rFonts w:eastAsia="Times New Roman" w:cs="Times New Roman"/>
                <w:sz w:val="18"/>
                <w:szCs w:val="18"/>
                <w:lang w:val="en-GB"/>
              </w:rPr>
              <w:t>Terlan</w:t>
            </w:r>
            <w:proofErr w:type="spellEnd"/>
          </w:p>
        </w:tc>
        <w:tc>
          <w:tcPr>
            <w:tcW w:w="1150" w:type="dxa"/>
            <w:vAlign w:val="center"/>
          </w:tcPr>
          <w:p w:rsidR="00007543" w:rsidRPr="00007543" w:rsidRDefault="00007543" w:rsidP="00007543">
            <w:pPr>
              <w:spacing w:after="0" w:line="168" w:lineRule="auto"/>
              <w:jc w:val="center"/>
              <w:rPr>
                <w:rFonts w:cs="Arial"/>
                <w:sz w:val="18"/>
                <w:szCs w:val="18"/>
                <w:lang w:val="en-GB"/>
              </w:rPr>
            </w:pPr>
            <w:r w:rsidRPr="00007543">
              <w:rPr>
                <w:rFonts w:eastAsia="Times New Roman" w:cs="Times New Roman"/>
                <w:sz w:val="18"/>
                <w:szCs w:val="18"/>
                <w:lang w:val="en-GB"/>
              </w:rPr>
              <w:t>2009</w:t>
            </w:r>
          </w:p>
        </w:tc>
      </w:tr>
    </w:tbl>
    <w:p w:rsidR="00007543" w:rsidRDefault="00007543" w:rsidP="00007543"/>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007543"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007543"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007543" w:rsidP="003E5744">
          <w:pPr>
            <w:spacing w:after="0" w:line="240" w:lineRule="auto"/>
            <w:jc w:val="center"/>
            <w:rPr>
              <w:rFonts w:ascii="Arial" w:hAnsi="Arial" w:cs="Arial"/>
              <w:sz w:val="16"/>
              <w:szCs w:val="16"/>
            </w:rPr>
          </w:pPr>
        </w:p>
        <w:p w:rsidR="007A6AC5" w:rsidRPr="00617B42" w:rsidRDefault="00007543"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007543"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007543"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007543"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007543" w:rsidP="003E5744">
          <w:pPr>
            <w:spacing w:after="0" w:line="240" w:lineRule="auto"/>
            <w:jc w:val="center"/>
          </w:pPr>
        </w:p>
        <w:p w:rsidR="007A6AC5" w:rsidRPr="00617B42" w:rsidRDefault="00007543"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007543"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007543" w:rsidP="003E5744">
          <w:pPr>
            <w:spacing w:after="0" w:line="240" w:lineRule="auto"/>
            <w:rPr>
              <w:rFonts w:ascii="Arial" w:hAnsi="Arial" w:cs="Arial"/>
              <w:sz w:val="18"/>
              <w:szCs w:val="18"/>
            </w:rPr>
          </w:pPr>
        </w:p>
      </w:tc>
    </w:tr>
  </w:tbl>
  <w:p w:rsidR="007A6AC5" w:rsidRDefault="000075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5580"/>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D2BF2"/>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E6A3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83B3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07543"/>
    <w:rsid w:val="00007543"/>
    <w:rsid w:val="00031247"/>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00754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754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07543"/>
  </w:style>
  <w:style w:type="table" w:customStyle="1" w:styleId="TableGrid1">
    <w:name w:val="Table Grid1"/>
    <w:basedOn w:val="TableNormal"/>
    <w:next w:val="TableGrid"/>
    <w:uiPriority w:val="59"/>
    <w:rsid w:val="0000754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54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43"/>
    <w:rPr>
      <w:rFonts w:ascii="Tahoma" w:hAnsi="Tahoma" w:cs="Tahoma"/>
      <w:sz w:val="16"/>
      <w:szCs w:val="16"/>
    </w:rPr>
  </w:style>
  <w:style w:type="table" w:customStyle="1" w:styleId="TableGrid2">
    <w:name w:val="Table Grid2"/>
    <w:basedOn w:val="TableNormal"/>
    <w:next w:val="TableGrid"/>
    <w:uiPriority w:val="59"/>
    <w:rsid w:val="0000754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2015-01-21T13:33:00Z</dcterms:created>
  <dcterms:modified xsi:type="dcterms:W3CDTF">2015-01-21T13:34:00Z</dcterms:modified>
</cp:coreProperties>
</file>