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3"/>
        <w:tblpPr w:leftFromText="180" w:rightFromText="180" w:vertAnchor="page" w:horzAnchor="margin" w:tblpY="3420"/>
        <w:tblW w:w="0" w:type="auto"/>
        <w:tblLook w:val="04A0"/>
      </w:tblPr>
      <w:tblGrid>
        <w:gridCol w:w="675"/>
        <w:gridCol w:w="1503"/>
        <w:gridCol w:w="89"/>
        <w:gridCol w:w="1300"/>
        <w:gridCol w:w="536"/>
        <w:gridCol w:w="796"/>
        <w:gridCol w:w="962"/>
        <w:gridCol w:w="1273"/>
        <w:gridCol w:w="425"/>
        <w:gridCol w:w="676"/>
        <w:gridCol w:w="1065"/>
      </w:tblGrid>
      <w:tr w:rsidR="0021466E" w:rsidRPr="006605FC" w:rsidTr="00F94DB3">
        <w:tc>
          <w:tcPr>
            <w:tcW w:w="2178" w:type="dxa"/>
            <w:gridSpan w:val="2"/>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Course id:2МRR2I45</w:t>
            </w:r>
          </w:p>
        </w:tc>
        <w:tc>
          <w:tcPr>
            <w:tcW w:w="7122" w:type="dxa"/>
            <w:gridSpan w:val="9"/>
            <w:vMerge w:val="restart"/>
          </w:tcPr>
          <w:p w:rsidR="0021466E" w:rsidRPr="006605FC" w:rsidRDefault="0021466E" w:rsidP="00F94DB3">
            <w:pPr>
              <w:rPr>
                <w:rFonts w:ascii="Calibri" w:eastAsia="Calibri" w:hAnsi="Calibri" w:cs="Times New Roman"/>
              </w:rPr>
            </w:pPr>
            <w:r w:rsidRPr="006605FC">
              <w:rPr>
                <w:rFonts w:ascii="Calibri" w:eastAsia="Calibri" w:hAnsi="Calibri" w:cs="Times New Roman"/>
              </w:rPr>
              <w:t>Insurance in Agriculture</w:t>
            </w:r>
          </w:p>
        </w:tc>
      </w:tr>
      <w:tr w:rsidR="0021466E" w:rsidRPr="006605FC" w:rsidTr="00F94DB3">
        <w:tc>
          <w:tcPr>
            <w:tcW w:w="2178" w:type="dxa"/>
            <w:gridSpan w:val="2"/>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Number of ECTS:6</w:t>
            </w:r>
          </w:p>
        </w:tc>
        <w:tc>
          <w:tcPr>
            <w:tcW w:w="7122" w:type="dxa"/>
            <w:gridSpan w:val="9"/>
            <w:vMerge/>
          </w:tcPr>
          <w:p w:rsidR="0021466E" w:rsidRPr="006605FC" w:rsidRDefault="0021466E" w:rsidP="00F94DB3">
            <w:pPr>
              <w:rPr>
                <w:rFonts w:ascii="Calibri" w:eastAsia="Calibri" w:hAnsi="Calibri" w:cs="Times New Roman"/>
              </w:rPr>
            </w:pPr>
          </w:p>
        </w:tc>
      </w:tr>
      <w:tr w:rsidR="0021466E" w:rsidRPr="006605FC" w:rsidTr="00F94DB3">
        <w:tc>
          <w:tcPr>
            <w:tcW w:w="2178" w:type="dxa"/>
            <w:gridSpan w:val="2"/>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Teacher:</w:t>
            </w:r>
          </w:p>
        </w:tc>
        <w:tc>
          <w:tcPr>
            <w:tcW w:w="7122" w:type="dxa"/>
            <w:gridSpan w:val="9"/>
          </w:tcPr>
          <w:p w:rsidR="0021466E" w:rsidRPr="006605FC" w:rsidRDefault="0021466E" w:rsidP="00F94DB3">
            <w:pPr>
              <w:rPr>
                <w:rFonts w:ascii="Calibri" w:eastAsia="Calibri" w:hAnsi="Calibri" w:cs="Times New Roman"/>
              </w:rPr>
            </w:pPr>
            <w:r w:rsidRPr="006605FC">
              <w:rPr>
                <w:rFonts w:ascii="Calibri" w:eastAsia="Calibri" w:hAnsi="Calibri" w:cs="Times New Roman"/>
              </w:rPr>
              <w:t>Todor Đ. Marković</w:t>
            </w:r>
          </w:p>
          <w:p w:rsidR="0021466E" w:rsidRPr="006605FC" w:rsidRDefault="0021466E" w:rsidP="00F94DB3">
            <w:pPr>
              <w:rPr>
                <w:rFonts w:ascii="Calibri" w:eastAsia="Calibri" w:hAnsi="Calibri" w:cs="Times New Roman"/>
              </w:rPr>
            </w:pPr>
            <w:r w:rsidRPr="006605FC">
              <w:rPr>
                <w:rFonts w:ascii="Calibri" w:eastAsia="Calibri" w:hAnsi="Calibri" w:cs="Times New Roman"/>
              </w:rPr>
              <w:t>Dragan M. Milić</w:t>
            </w:r>
          </w:p>
        </w:tc>
      </w:tr>
      <w:tr w:rsidR="0021466E" w:rsidRPr="006605FC" w:rsidTr="00F94DB3">
        <w:tc>
          <w:tcPr>
            <w:tcW w:w="2178" w:type="dxa"/>
            <w:gridSpan w:val="2"/>
            <w:tcBorders>
              <w:bottom w:val="single" w:sz="4" w:space="0" w:color="auto"/>
            </w:tcBorders>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Course status</w:t>
            </w:r>
          </w:p>
        </w:tc>
        <w:tc>
          <w:tcPr>
            <w:tcW w:w="7122" w:type="dxa"/>
            <w:gridSpan w:val="9"/>
            <w:tcBorders>
              <w:bottom w:val="single" w:sz="4" w:space="0" w:color="auto"/>
            </w:tcBorders>
          </w:tcPr>
          <w:p w:rsidR="0021466E" w:rsidRPr="006605FC" w:rsidRDefault="0021466E" w:rsidP="00F94DB3">
            <w:pPr>
              <w:rPr>
                <w:rFonts w:ascii="Calibri" w:eastAsia="Calibri" w:hAnsi="Calibri" w:cs="Times New Roman"/>
              </w:rPr>
            </w:pPr>
            <w:r w:rsidRPr="006605FC">
              <w:rPr>
                <w:rFonts w:ascii="Calibri" w:eastAsia="Calibri" w:hAnsi="Calibri" w:cs="Times New Roman"/>
                <w:sz w:val="18"/>
                <w:szCs w:val="18"/>
              </w:rPr>
              <w:t>Elective</w:t>
            </w:r>
          </w:p>
        </w:tc>
      </w:tr>
      <w:tr w:rsidR="0021466E" w:rsidRPr="006605FC" w:rsidTr="00F94DB3">
        <w:trPr>
          <w:trHeight w:val="227"/>
        </w:trPr>
        <w:tc>
          <w:tcPr>
            <w:tcW w:w="9300" w:type="dxa"/>
            <w:gridSpan w:val="11"/>
            <w:tcBorders>
              <w:bottom w:val="single" w:sz="4" w:space="0" w:color="auto"/>
            </w:tcBorders>
            <w:shd w:val="clear" w:color="auto" w:fill="C2D69B"/>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21466E" w:rsidRPr="006605FC" w:rsidTr="00F94DB3">
        <w:trPr>
          <w:trHeight w:val="227"/>
        </w:trPr>
        <w:tc>
          <w:tcPr>
            <w:tcW w:w="2178"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Lectures:2</w:t>
            </w:r>
          </w:p>
        </w:tc>
        <w:tc>
          <w:tcPr>
            <w:tcW w:w="1925" w:type="dxa"/>
            <w:gridSpan w:val="3"/>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Tutorials:2</w:t>
            </w:r>
          </w:p>
        </w:tc>
        <w:tc>
          <w:tcPr>
            <w:tcW w:w="1758"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698"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41"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21466E" w:rsidRPr="006605FC" w:rsidTr="00F94DB3">
        <w:tc>
          <w:tcPr>
            <w:tcW w:w="2178" w:type="dxa"/>
            <w:gridSpan w:val="2"/>
            <w:shd w:val="clear" w:color="auto" w:fill="C2D69B"/>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7122" w:type="dxa"/>
            <w:gridSpan w:val="9"/>
            <w:shd w:val="clear" w:color="auto" w:fill="C2D69B"/>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None</w:t>
            </w:r>
          </w:p>
        </w:tc>
      </w:tr>
      <w:tr w:rsidR="0021466E" w:rsidRPr="006605FC" w:rsidTr="00F94DB3">
        <w:tc>
          <w:tcPr>
            <w:tcW w:w="9300" w:type="dxa"/>
            <w:gridSpan w:val="11"/>
          </w:tcPr>
          <w:p w:rsidR="0021466E" w:rsidRPr="006605FC" w:rsidRDefault="0021466E" w:rsidP="0021466E">
            <w:pPr>
              <w:numPr>
                <w:ilvl w:val="0"/>
                <w:numId w:val="23"/>
              </w:numPr>
              <w:rPr>
                <w:rFonts w:ascii="Arial" w:eastAsia="Calibri" w:hAnsi="Arial" w:cs="Arial"/>
                <w:sz w:val="16"/>
                <w:szCs w:val="16"/>
              </w:rPr>
            </w:pPr>
            <w:r w:rsidRPr="006605FC">
              <w:rPr>
                <w:rFonts w:ascii="Arial" w:eastAsia="Calibri" w:hAnsi="Arial" w:cs="Arial"/>
                <w:sz w:val="16"/>
                <w:szCs w:val="16"/>
              </w:rPr>
              <w:t>Educational goal</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 xml:space="preserve">Introducing students to the basic features of risk management in agriculture, insurance as an instrument of risk management, insurance systems in agricultural production, methods of calculating insurance premiums and reimbursement.       </w:t>
            </w:r>
          </w:p>
        </w:tc>
      </w:tr>
      <w:tr w:rsidR="0021466E" w:rsidRPr="006605FC" w:rsidTr="00F94DB3">
        <w:tc>
          <w:tcPr>
            <w:tcW w:w="9300" w:type="dxa"/>
            <w:gridSpan w:val="11"/>
          </w:tcPr>
          <w:p w:rsidR="0021466E" w:rsidRPr="006605FC" w:rsidRDefault="0021466E" w:rsidP="0021466E">
            <w:pPr>
              <w:numPr>
                <w:ilvl w:val="0"/>
                <w:numId w:val="23"/>
              </w:numPr>
              <w:ind w:left="284" w:hanging="284"/>
              <w:rPr>
                <w:rFonts w:ascii="Arial" w:eastAsia="Calibri" w:hAnsi="Arial" w:cs="Arial"/>
                <w:sz w:val="16"/>
                <w:szCs w:val="16"/>
              </w:rPr>
            </w:pPr>
            <w:r w:rsidRPr="006605FC">
              <w:rPr>
                <w:rFonts w:ascii="Arial" w:eastAsia="Calibri" w:hAnsi="Arial" w:cs="Arial"/>
                <w:sz w:val="16"/>
                <w:szCs w:val="16"/>
              </w:rPr>
              <w:t>Educational outcomes</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Upon the completion of the course, students will be capable of adequate research monitoring of insurance costs and making operational decisions regarding agricultural insurance.</w:t>
            </w:r>
          </w:p>
        </w:tc>
      </w:tr>
      <w:tr w:rsidR="0021466E" w:rsidRPr="006605FC" w:rsidTr="00F94DB3">
        <w:tc>
          <w:tcPr>
            <w:tcW w:w="9300" w:type="dxa"/>
            <w:gridSpan w:val="11"/>
          </w:tcPr>
          <w:p w:rsidR="0021466E" w:rsidRPr="006605FC" w:rsidRDefault="0021466E" w:rsidP="0021466E">
            <w:pPr>
              <w:numPr>
                <w:ilvl w:val="0"/>
                <w:numId w:val="23"/>
              </w:numPr>
              <w:ind w:left="284" w:hanging="284"/>
              <w:rPr>
                <w:rFonts w:ascii="Arial" w:eastAsia="Calibri" w:hAnsi="Arial" w:cs="Arial"/>
                <w:sz w:val="16"/>
                <w:szCs w:val="16"/>
              </w:rPr>
            </w:pPr>
            <w:r w:rsidRPr="006605FC">
              <w:rPr>
                <w:rFonts w:ascii="Arial" w:eastAsia="Calibri" w:hAnsi="Arial" w:cs="Arial"/>
                <w:sz w:val="16"/>
                <w:szCs w:val="16"/>
              </w:rPr>
              <w:t>Course content</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i/>
                <w:sz w:val="18"/>
                <w:szCs w:val="18"/>
              </w:rPr>
              <w:t>Theoretical Instruction</w:t>
            </w:r>
            <w:r w:rsidRPr="006605FC">
              <w:rPr>
                <w:rFonts w:ascii="Calibri" w:eastAsia="Calibri" w:hAnsi="Calibri" w:cs="Times New Roman"/>
                <w:sz w:val="18"/>
                <w:szCs w:val="18"/>
              </w:rPr>
              <w:t xml:space="preserve"> The necessity and advantages of risk management (concept and types of risk), risk management stages, risk management instruments (farm and external instruments), quantitative methods of risk assessment (the concept of stochastic domination, classification parameters, lower partial moments); Insurance (concept and types), insurance elements (risk, premium, reimbursement), insurance principles, problems on insurance market and insurance functions, coinsurance and reinsurance; Insurance systems in agriculture, animal insurance, crop and fruit insurance (classic, success indicators insurance, farm insurance, index insurance); Crop and fruit insurance from numerous risks (insurance systems in Europe and the US); Time derivatives (concept and theoretical basics), derivative types (futures, options, forwards), time contracts and time derivatives market in plant production; Animal insurance in Serbia (historical overview, insurance premium and risk price, technical result, damage assessment and reimbursement).   </w:t>
            </w:r>
          </w:p>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Insurance documents, characteristics of animal, crop and fruit insurance, damage assessment and reimbursement in agricultural insurance. </w:t>
            </w:r>
          </w:p>
        </w:tc>
      </w:tr>
      <w:tr w:rsidR="0021466E" w:rsidRPr="006605FC" w:rsidTr="00F94DB3">
        <w:tc>
          <w:tcPr>
            <w:tcW w:w="9300" w:type="dxa"/>
            <w:gridSpan w:val="11"/>
            <w:tcBorders>
              <w:bottom w:val="single" w:sz="4" w:space="0" w:color="auto"/>
            </w:tcBorders>
          </w:tcPr>
          <w:p w:rsidR="0021466E" w:rsidRPr="006605FC" w:rsidRDefault="0021466E" w:rsidP="0021466E">
            <w:pPr>
              <w:numPr>
                <w:ilvl w:val="0"/>
                <w:numId w:val="23"/>
              </w:numPr>
              <w:ind w:left="284" w:hanging="284"/>
              <w:rPr>
                <w:rFonts w:ascii="Arial" w:eastAsia="Calibri" w:hAnsi="Arial" w:cs="Arial"/>
                <w:sz w:val="16"/>
                <w:szCs w:val="16"/>
              </w:rPr>
            </w:pPr>
            <w:r w:rsidRPr="006605FC">
              <w:rPr>
                <w:rFonts w:ascii="Arial" w:eastAsia="Calibri" w:hAnsi="Arial" w:cs="Arial"/>
                <w:sz w:val="16"/>
                <w:szCs w:val="16"/>
              </w:rPr>
              <w:t>Teaching methods</w:t>
            </w:r>
          </w:p>
          <w:p w:rsidR="0021466E" w:rsidRPr="006605FC" w:rsidRDefault="0021466E" w:rsidP="00F94DB3">
            <w:pPr>
              <w:rPr>
                <w:rFonts w:ascii="Arial" w:eastAsia="Calibri" w:hAnsi="Arial" w:cs="Arial"/>
                <w:sz w:val="16"/>
                <w:szCs w:val="16"/>
              </w:rPr>
            </w:pPr>
          </w:p>
          <w:p w:rsidR="0021466E" w:rsidRPr="006605FC" w:rsidRDefault="0021466E"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seminar papers. </w:t>
            </w:r>
          </w:p>
        </w:tc>
      </w:tr>
      <w:tr w:rsidR="0021466E" w:rsidRPr="006605FC" w:rsidTr="00F94DB3">
        <w:tc>
          <w:tcPr>
            <w:tcW w:w="9300" w:type="dxa"/>
            <w:gridSpan w:val="11"/>
            <w:tcBorders>
              <w:bottom w:val="single" w:sz="4" w:space="0" w:color="auto"/>
            </w:tcBorders>
            <w:shd w:val="clear" w:color="auto" w:fill="C2D69B"/>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21466E" w:rsidRPr="006605FC" w:rsidTr="00F94DB3">
        <w:tc>
          <w:tcPr>
            <w:tcW w:w="2267" w:type="dxa"/>
            <w:gridSpan w:val="3"/>
            <w:shd w:val="clear" w:color="auto" w:fill="auto"/>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300" w:type="dxa"/>
            <w:shd w:val="clear" w:color="auto" w:fill="auto"/>
            <w:vAlign w:val="center"/>
          </w:tcPr>
          <w:p w:rsidR="0021466E" w:rsidRPr="006605FC" w:rsidRDefault="0021466E" w:rsidP="00F94DB3">
            <w:pPr>
              <w:rPr>
                <w:rFonts w:ascii="Arial" w:eastAsia="Calibri" w:hAnsi="Arial" w:cs="Arial"/>
                <w:sz w:val="16"/>
                <w:szCs w:val="16"/>
              </w:rPr>
            </w:pPr>
            <w:r w:rsidRPr="006605FC">
              <w:rPr>
                <w:rFonts w:ascii="Arial" w:eastAsia="Calibri" w:hAnsi="Arial" w:cs="Arial"/>
                <w:sz w:val="16"/>
                <w:szCs w:val="16"/>
              </w:rPr>
              <w:t>Mandatory</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235"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01"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65" w:type="dxa"/>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21466E" w:rsidRPr="006605FC" w:rsidTr="00F94DB3">
        <w:tc>
          <w:tcPr>
            <w:tcW w:w="2267" w:type="dxa"/>
            <w:gridSpan w:val="3"/>
            <w:shd w:val="clear" w:color="auto" w:fill="auto"/>
            <w:vAlign w:val="center"/>
          </w:tcPr>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300" w:type="dxa"/>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w:t>
            </w:r>
          </w:p>
        </w:tc>
        <w:tc>
          <w:tcPr>
            <w:tcW w:w="2235" w:type="dxa"/>
            <w:gridSpan w:val="2"/>
            <w:shd w:val="clear" w:color="auto" w:fill="auto"/>
            <w:vAlign w:val="center"/>
          </w:tcPr>
          <w:p w:rsidR="0021466E" w:rsidRPr="006605FC" w:rsidRDefault="0021466E"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01"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65" w:type="dxa"/>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50</w:t>
            </w:r>
          </w:p>
        </w:tc>
      </w:tr>
      <w:tr w:rsidR="0021466E" w:rsidRPr="006605FC" w:rsidTr="00F94DB3">
        <w:tc>
          <w:tcPr>
            <w:tcW w:w="2267" w:type="dxa"/>
            <w:gridSpan w:val="3"/>
            <w:shd w:val="clear" w:color="auto" w:fill="auto"/>
            <w:vAlign w:val="center"/>
          </w:tcPr>
          <w:p w:rsidR="0021466E" w:rsidRPr="006605FC" w:rsidRDefault="0021466E"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300" w:type="dxa"/>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50</w:t>
            </w:r>
          </w:p>
        </w:tc>
        <w:tc>
          <w:tcPr>
            <w:tcW w:w="4401" w:type="dxa"/>
            <w:gridSpan w:val="5"/>
            <w:vMerge w:val="restart"/>
            <w:shd w:val="clear" w:color="auto" w:fill="auto"/>
            <w:vAlign w:val="center"/>
          </w:tcPr>
          <w:p w:rsidR="0021466E" w:rsidRPr="006605FC" w:rsidRDefault="0021466E" w:rsidP="00F94DB3">
            <w:pPr>
              <w:jc w:val="center"/>
              <w:rPr>
                <w:rFonts w:ascii="Arial" w:eastAsia="Calibri" w:hAnsi="Arial" w:cs="Arial"/>
                <w:sz w:val="16"/>
                <w:szCs w:val="16"/>
              </w:rPr>
            </w:pPr>
          </w:p>
        </w:tc>
      </w:tr>
      <w:tr w:rsidR="0021466E" w:rsidRPr="006605FC" w:rsidTr="00F94DB3">
        <w:tc>
          <w:tcPr>
            <w:tcW w:w="2267" w:type="dxa"/>
            <w:gridSpan w:val="3"/>
            <w:shd w:val="clear" w:color="auto" w:fill="auto"/>
            <w:vAlign w:val="center"/>
          </w:tcPr>
          <w:p w:rsidR="0021466E" w:rsidRPr="006605FC" w:rsidRDefault="0021466E" w:rsidP="00F94DB3">
            <w:pPr>
              <w:rPr>
                <w:rFonts w:ascii="Calibri" w:eastAsia="Calibri" w:hAnsi="Calibri" w:cs="Times New Roman"/>
                <w:sz w:val="18"/>
                <w:szCs w:val="18"/>
              </w:rPr>
            </w:pPr>
          </w:p>
        </w:tc>
        <w:tc>
          <w:tcPr>
            <w:tcW w:w="1300" w:type="dxa"/>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shd w:val="clear" w:color="auto" w:fill="auto"/>
            <w:vAlign w:val="center"/>
          </w:tcPr>
          <w:p w:rsidR="0021466E" w:rsidRPr="006605FC" w:rsidRDefault="0021466E" w:rsidP="00F94DB3">
            <w:pPr>
              <w:jc w:val="center"/>
              <w:rPr>
                <w:rFonts w:ascii="Arial" w:eastAsia="Calibri" w:hAnsi="Arial" w:cs="Arial"/>
                <w:sz w:val="16"/>
                <w:szCs w:val="16"/>
              </w:rPr>
            </w:pPr>
          </w:p>
        </w:tc>
        <w:tc>
          <w:tcPr>
            <w:tcW w:w="4401" w:type="dxa"/>
            <w:gridSpan w:val="5"/>
            <w:vMerge/>
            <w:shd w:val="clear" w:color="auto" w:fill="auto"/>
            <w:vAlign w:val="center"/>
          </w:tcPr>
          <w:p w:rsidR="0021466E" w:rsidRPr="006605FC" w:rsidRDefault="0021466E" w:rsidP="00F94DB3">
            <w:pPr>
              <w:jc w:val="center"/>
              <w:rPr>
                <w:rFonts w:ascii="Arial" w:eastAsia="Calibri" w:hAnsi="Arial" w:cs="Arial"/>
                <w:sz w:val="16"/>
                <w:szCs w:val="16"/>
              </w:rPr>
            </w:pPr>
          </w:p>
        </w:tc>
      </w:tr>
      <w:tr w:rsidR="0021466E" w:rsidRPr="006605FC" w:rsidTr="00F94DB3">
        <w:tc>
          <w:tcPr>
            <w:tcW w:w="2267" w:type="dxa"/>
            <w:gridSpan w:val="3"/>
            <w:tcBorders>
              <w:bottom w:val="single" w:sz="4" w:space="0" w:color="auto"/>
            </w:tcBorders>
            <w:shd w:val="clear" w:color="auto" w:fill="auto"/>
            <w:vAlign w:val="center"/>
          </w:tcPr>
          <w:p w:rsidR="0021466E" w:rsidRPr="006605FC" w:rsidRDefault="0021466E" w:rsidP="00F94DB3">
            <w:pPr>
              <w:rPr>
                <w:rFonts w:ascii="Arial" w:eastAsia="Calibri" w:hAnsi="Arial" w:cs="Arial"/>
                <w:sz w:val="16"/>
                <w:szCs w:val="16"/>
              </w:rPr>
            </w:pPr>
          </w:p>
        </w:tc>
        <w:tc>
          <w:tcPr>
            <w:tcW w:w="1300" w:type="dxa"/>
            <w:tcBorders>
              <w:bottom w:val="single" w:sz="4" w:space="0" w:color="auto"/>
            </w:tcBorders>
            <w:shd w:val="clear" w:color="auto" w:fill="auto"/>
            <w:vAlign w:val="center"/>
          </w:tcPr>
          <w:p w:rsidR="0021466E" w:rsidRPr="006605FC" w:rsidRDefault="0021466E" w:rsidP="00F94DB3">
            <w:pPr>
              <w:jc w:val="center"/>
              <w:rPr>
                <w:rFonts w:ascii="Calibri" w:eastAsia="Calibri" w:hAnsi="Calibri" w:cs="Times New Roman"/>
              </w:rPr>
            </w:pPr>
            <w:r w:rsidRPr="006605FC">
              <w:rPr>
                <w:rFonts w:ascii="Arial" w:eastAsia="Calibri" w:hAnsi="Arial" w:cs="Arial"/>
                <w:sz w:val="16"/>
                <w:szCs w:val="16"/>
              </w:rPr>
              <w:t>Yes/No</w:t>
            </w:r>
          </w:p>
        </w:tc>
        <w:tc>
          <w:tcPr>
            <w:tcW w:w="1332" w:type="dxa"/>
            <w:gridSpan w:val="2"/>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p>
        </w:tc>
        <w:tc>
          <w:tcPr>
            <w:tcW w:w="4401" w:type="dxa"/>
            <w:gridSpan w:val="5"/>
            <w:vMerge/>
            <w:tcBorders>
              <w:bottom w:val="single" w:sz="4" w:space="0" w:color="auto"/>
            </w:tcBorders>
            <w:shd w:val="clear" w:color="auto" w:fill="auto"/>
            <w:vAlign w:val="center"/>
          </w:tcPr>
          <w:p w:rsidR="0021466E" w:rsidRPr="006605FC" w:rsidRDefault="0021466E" w:rsidP="00F94DB3">
            <w:pPr>
              <w:jc w:val="center"/>
              <w:rPr>
                <w:rFonts w:ascii="Arial" w:eastAsia="Calibri" w:hAnsi="Arial" w:cs="Arial"/>
                <w:sz w:val="16"/>
                <w:szCs w:val="16"/>
              </w:rPr>
            </w:pPr>
          </w:p>
        </w:tc>
      </w:tr>
      <w:tr w:rsidR="0021466E" w:rsidRPr="006605FC" w:rsidTr="00F94DB3">
        <w:tc>
          <w:tcPr>
            <w:tcW w:w="9300" w:type="dxa"/>
            <w:gridSpan w:val="11"/>
            <w:shd w:val="clear" w:color="auto" w:fill="C2D69B"/>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21466E" w:rsidRPr="006605FC" w:rsidTr="00F94DB3">
        <w:tc>
          <w:tcPr>
            <w:tcW w:w="67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Von Alten, Grace</w:t>
            </w:r>
          </w:p>
        </w:tc>
        <w:tc>
          <w:tcPr>
            <w:tcW w:w="2632" w:type="dxa"/>
            <w:gridSpan w:val="3"/>
            <w:vAlign w:val="center"/>
          </w:tcPr>
          <w:p w:rsidR="0021466E" w:rsidRPr="00D17865" w:rsidRDefault="0021466E" w:rsidP="00F94DB3">
            <w:pPr>
              <w:jc w:val="center"/>
              <w:rPr>
                <w:rFonts w:ascii="Arial" w:eastAsia="Calibri" w:hAnsi="Arial" w:cs="Arial"/>
                <w:sz w:val="16"/>
                <w:szCs w:val="16"/>
                <w:lang w:val="de-DE"/>
              </w:rPr>
            </w:pPr>
            <w:r w:rsidRPr="00D17865">
              <w:rPr>
                <w:rFonts w:ascii="Arial" w:eastAsia="Calibri" w:hAnsi="Arial" w:cs="Arial"/>
                <w:sz w:val="16"/>
                <w:szCs w:val="16"/>
                <w:lang w:val="de-DE"/>
              </w:rPr>
              <w:t>Das Risikoverhalten von Landwirten – eine Studie am Beispiel der Erntemehrgefahrenversicherung</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Cuvillier Verlag, Göttingen</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2008</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Dorfman, M. S.</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Introduction to Risk Management and Insurance (9th Edition)</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Prentice Hall, New Jersey</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2007</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Jewson, S., Brix, A.</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Weather Derivative Valuation: The Meteorological, Statistical, Financial and Mathematical Foundations</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Cambridge University Press, Cambridge</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2005</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Hirschauer, N., Mußhoff, O.</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 xml:space="preserve">Risikomanagement in der Landwirtschaft. </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Agrimedia-Verlag Clenze</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2012</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Kočović, Jelena, Šulejić, P.</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Osiguranje</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Centar za izdavačku delatnost Ekonomski fakultet, Beograd</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2006</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Marković, T.</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Vremenski derivati kao finansijski instrument u osiguranju useva i plodova</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Doktorska disertacija</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2010</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Mußhoff, O., Hirschauer, N.</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Bewertung komplexer Optionen - Umsetzung numerischer Verfahren mittels MS-EXCEL und Anwendungsmöglichkeiten der Optionspreistheorie auf Sachinvestitionen. PD-Verlag</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Heidenau</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Petrevska, M., Toscano, B., Milošev, D.</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Osiguranje biljne proizvodnje</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Beograd</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2010</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Prettenthaler, F., Strametz, Sandra, Töglhofer, C., Türk, A.</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Anpassungs-strategien gegen Trockenheit - Bewertung ökonomisch-finanzieller versus technischer Ansätze des Risikomanagements</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Wegener Center Verlag, Graz</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2006</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Mußhoff, O., Hirschauer, N.</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Modernes Agrarmanagement Betriebswirtschaftliche Analyse- und Planungsverfahren (2., überarbeitete und erweiterte Auflage)</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Verlag Franz Vahlen GmbH, München</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2011</w:t>
            </w:r>
          </w:p>
        </w:tc>
      </w:tr>
      <w:tr w:rsidR="0021466E" w:rsidRPr="006605FC" w:rsidTr="00F94DB3">
        <w:tc>
          <w:tcPr>
            <w:tcW w:w="675" w:type="dxa"/>
            <w:vAlign w:val="center"/>
          </w:tcPr>
          <w:p w:rsidR="0021466E" w:rsidRPr="006605FC" w:rsidRDefault="0021466E" w:rsidP="0021466E">
            <w:pPr>
              <w:numPr>
                <w:ilvl w:val="0"/>
                <w:numId w:val="24"/>
              </w:numPr>
              <w:jc w:val="center"/>
              <w:rPr>
                <w:rFonts w:ascii="Arial" w:eastAsia="Calibri" w:hAnsi="Arial" w:cs="Arial"/>
                <w:sz w:val="16"/>
                <w:szCs w:val="16"/>
              </w:rPr>
            </w:pPr>
          </w:p>
        </w:tc>
        <w:tc>
          <w:tcPr>
            <w:tcW w:w="1592" w:type="dxa"/>
            <w:gridSpan w:val="2"/>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Hull, J. C.</w:t>
            </w:r>
          </w:p>
        </w:tc>
        <w:tc>
          <w:tcPr>
            <w:tcW w:w="2632" w:type="dxa"/>
            <w:gridSpan w:val="3"/>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Options, Futures and Other Derivatives (5th edition)</w:t>
            </w:r>
          </w:p>
        </w:tc>
        <w:tc>
          <w:tcPr>
            <w:tcW w:w="3336" w:type="dxa"/>
            <w:gridSpan w:val="4"/>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Prentice Hall, New Jersey</w:t>
            </w:r>
          </w:p>
        </w:tc>
        <w:tc>
          <w:tcPr>
            <w:tcW w:w="1065" w:type="dxa"/>
            <w:vAlign w:val="center"/>
          </w:tcPr>
          <w:p w:rsidR="0021466E" w:rsidRPr="006605FC" w:rsidRDefault="0021466E" w:rsidP="00F94DB3">
            <w:pPr>
              <w:jc w:val="center"/>
              <w:rPr>
                <w:rFonts w:ascii="Arial" w:eastAsia="Calibri" w:hAnsi="Arial" w:cs="Arial"/>
                <w:sz w:val="16"/>
                <w:szCs w:val="16"/>
              </w:rPr>
            </w:pPr>
            <w:r w:rsidRPr="006605FC">
              <w:rPr>
                <w:rFonts w:ascii="Arial" w:eastAsia="Calibri" w:hAnsi="Arial" w:cs="Arial"/>
                <w:sz w:val="16"/>
                <w:szCs w:val="16"/>
              </w:rPr>
              <w:t>2002</w:t>
            </w:r>
          </w:p>
        </w:tc>
      </w:tr>
    </w:tbl>
    <w:p w:rsidR="00C058E7" w:rsidRDefault="00C058E7" w:rsidP="003C10C1">
      <w:pPr>
        <w:spacing w:after="0" w:line="240" w:lineRule="auto"/>
      </w:pPr>
    </w:p>
    <w:sectPr w:rsidR="00C058E7" w:rsidSect="003C10C1">
      <w:headerReference w:type="even" r:id="rId7"/>
      <w:headerReference w:type="default" r:id="rId8"/>
      <w:footerReference w:type="even" r:id="rId9"/>
      <w:footerReference w:type="default" r:id="rId10"/>
      <w:headerReference w:type="first" r:id="rId11"/>
      <w:footerReference w:type="first" r:id="rId12"/>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E9" w:rsidRDefault="00897DE9" w:rsidP="00187BB1">
      <w:pPr>
        <w:spacing w:after="0" w:line="240" w:lineRule="auto"/>
      </w:pPr>
      <w:r>
        <w:separator/>
      </w:r>
    </w:p>
  </w:endnote>
  <w:endnote w:type="continuationSeparator" w:id="1">
    <w:p w:rsidR="00897DE9" w:rsidRDefault="00897DE9"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65" w:rsidRDefault="00D178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65" w:rsidRDefault="00D178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65" w:rsidRDefault="00D17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E9" w:rsidRDefault="00897DE9" w:rsidP="00187BB1">
      <w:pPr>
        <w:spacing w:after="0" w:line="240" w:lineRule="auto"/>
      </w:pPr>
      <w:r>
        <w:separator/>
      </w:r>
    </w:p>
  </w:footnote>
  <w:footnote w:type="continuationSeparator" w:id="1">
    <w:p w:rsidR="00897DE9" w:rsidRDefault="00897DE9"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65" w:rsidRDefault="00D17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CF09C1"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CF09C1"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897DE9" w:rsidP="00F94DB3">
          <w:pPr>
            <w:jc w:val="center"/>
            <w:rPr>
              <w:rFonts w:ascii="Arial" w:hAnsi="Arial" w:cs="Arial"/>
              <w:sz w:val="16"/>
              <w:szCs w:val="16"/>
              <w:lang w:val="en-GB"/>
            </w:rPr>
          </w:pPr>
        </w:p>
        <w:p w:rsidR="00D12518" w:rsidRPr="007A20E8" w:rsidRDefault="00CF09C1"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CF09C1"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897DE9"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CF09C1" w:rsidP="00F94DB3">
          <w:pPr>
            <w:jc w:val="center"/>
            <w:rPr>
              <w:sz w:val="28"/>
              <w:szCs w:val="28"/>
              <w:lang w:val="en-GB"/>
            </w:rPr>
          </w:pPr>
          <w:r w:rsidRPr="007A20E8">
            <w:rPr>
              <w:sz w:val="28"/>
              <w:szCs w:val="28"/>
              <w:lang w:val="en-GB"/>
            </w:rPr>
            <w:t>Study Programme Accreditation</w:t>
          </w:r>
        </w:p>
        <w:p w:rsidR="00D12518" w:rsidRPr="007A20E8" w:rsidRDefault="00897DE9" w:rsidP="00F94DB3">
          <w:pPr>
            <w:jc w:val="center"/>
            <w:rPr>
              <w:lang w:val="en-GB"/>
            </w:rPr>
          </w:pPr>
        </w:p>
        <w:p w:rsidR="00D17865" w:rsidRPr="00D17865" w:rsidRDefault="00D17865" w:rsidP="00D17865">
          <w:pPr>
            <w:spacing w:after="80"/>
            <w:jc w:val="center"/>
            <w:rPr>
              <w:rFonts w:ascii="Arial" w:hAnsi="Arial" w:cs="Arial"/>
              <w:sz w:val="18"/>
              <w:szCs w:val="18"/>
            </w:rPr>
          </w:pPr>
          <w:r w:rsidRPr="00D17865">
            <w:rPr>
              <w:rFonts w:ascii="Arial" w:hAnsi="Arial" w:cs="Arial"/>
              <w:sz w:val="18"/>
              <w:szCs w:val="18"/>
            </w:rPr>
            <w:t xml:space="preserve">MASTER ACADEMIC STUDIES </w:t>
          </w:r>
        </w:p>
        <w:p w:rsidR="00D12518" w:rsidRPr="007A20E8" w:rsidRDefault="00D17865" w:rsidP="00D17865">
          <w:pPr>
            <w:jc w:val="center"/>
            <w:rPr>
              <w:rFonts w:ascii="Arial" w:hAnsi="Arial" w:cs="Arial"/>
              <w:sz w:val="18"/>
              <w:szCs w:val="18"/>
              <w:lang w:val="en-GB"/>
            </w:rPr>
          </w:pPr>
          <w:r w:rsidRPr="00D17865">
            <w:rPr>
              <w:rFonts w:ascii="Arial" w:hAnsi="Arial" w:cs="Arial"/>
              <w:sz w:val="18"/>
              <w:szCs w:val="18"/>
            </w:rPr>
            <w:t>RURAL DEVELOPMENT AND AGRITOURISM</w:t>
          </w:r>
        </w:p>
      </w:tc>
      <w:tc>
        <w:tcPr>
          <w:tcW w:w="1432" w:type="dxa"/>
          <w:vMerge/>
          <w:tcBorders>
            <w:bottom w:val="single" w:sz="4" w:space="0" w:color="auto"/>
          </w:tcBorders>
        </w:tcPr>
        <w:p w:rsidR="00D12518" w:rsidRPr="007A20E8" w:rsidRDefault="00897DE9"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CF09C1"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897DE9" w:rsidP="00187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65" w:rsidRDefault="00D178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7"/>
  </w:num>
  <w:num w:numId="5">
    <w:abstractNumId w:val="4"/>
  </w:num>
  <w:num w:numId="6">
    <w:abstractNumId w:val="23"/>
  </w:num>
  <w:num w:numId="7">
    <w:abstractNumId w:val="19"/>
  </w:num>
  <w:num w:numId="8">
    <w:abstractNumId w:val="10"/>
  </w:num>
  <w:num w:numId="9">
    <w:abstractNumId w:val="11"/>
  </w:num>
  <w:num w:numId="10">
    <w:abstractNumId w:val="8"/>
  </w:num>
  <w:num w:numId="11">
    <w:abstractNumId w:val="5"/>
  </w:num>
  <w:num w:numId="12">
    <w:abstractNumId w:val="13"/>
  </w:num>
  <w:num w:numId="13">
    <w:abstractNumId w:val="9"/>
  </w:num>
  <w:num w:numId="14">
    <w:abstractNumId w:val="0"/>
  </w:num>
  <w:num w:numId="15">
    <w:abstractNumId w:val="1"/>
  </w:num>
  <w:num w:numId="16">
    <w:abstractNumId w:val="18"/>
  </w:num>
  <w:num w:numId="17">
    <w:abstractNumId w:val="12"/>
  </w:num>
  <w:num w:numId="18">
    <w:abstractNumId w:val="2"/>
  </w:num>
  <w:num w:numId="19">
    <w:abstractNumId w:val="21"/>
  </w:num>
  <w:num w:numId="20">
    <w:abstractNumId w:val="7"/>
  </w:num>
  <w:num w:numId="21">
    <w:abstractNumId w:val="20"/>
  </w:num>
  <w:num w:numId="22">
    <w:abstractNumId w:val="3"/>
  </w:num>
  <w:num w:numId="23">
    <w:abstractNumId w:val="1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A2"/>
    <w:rsid w:val="00162D29"/>
    <w:rsid w:val="00187BB1"/>
    <w:rsid w:val="001C49F6"/>
    <w:rsid w:val="0021466E"/>
    <w:rsid w:val="0028081A"/>
    <w:rsid w:val="00396815"/>
    <w:rsid w:val="003C10C1"/>
    <w:rsid w:val="003F5CC3"/>
    <w:rsid w:val="005947DB"/>
    <w:rsid w:val="005E4CBD"/>
    <w:rsid w:val="007570ED"/>
    <w:rsid w:val="007F0ACC"/>
    <w:rsid w:val="00897DE9"/>
    <w:rsid w:val="008A6BA2"/>
    <w:rsid w:val="00905E69"/>
    <w:rsid w:val="00A67CB8"/>
    <w:rsid w:val="00BB47C7"/>
    <w:rsid w:val="00BE5310"/>
    <w:rsid w:val="00C0546B"/>
    <w:rsid w:val="00C058E7"/>
    <w:rsid w:val="00C11BD8"/>
    <w:rsid w:val="00C4451A"/>
    <w:rsid w:val="00CF09C1"/>
    <w:rsid w:val="00D17865"/>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dejan.jankovic</cp:lastModifiedBy>
  <cp:revision>3</cp:revision>
  <dcterms:created xsi:type="dcterms:W3CDTF">2015-01-21T14:10:00Z</dcterms:created>
  <dcterms:modified xsi:type="dcterms:W3CDTF">2015-01-22T13:16:00Z</dcterms:modified>
</cp:coreProperties>
</file>