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1C49F6" w:rsidRPr="00726AB2" w:rsidTr="00F94DB3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26AB2">
              <w:rPr>
                <w:rFonts w:ascii="Arial" w:eastAsia="Times New Roman" w:hAnsi="Arial" w:cs="Arial"/>
                <w:i/>
                <w:sz w:val="18"/>
                <w:szCs w:val="20"/>
                <w:lang w:val="en-GB"/>
              </w:rPr>
              <w:t>Information Technology in Agribusiness</w:t>
            </w:r>
          </w:p>
        </w:tc>
      </w:tr>
      <w:tr w:rsidR="001C49F6" w:rsidRPr="00726AB2" w:rsidTr="00F94DB3">
        <w:tc>
          <w:tcPr>
            <w:tcW w:w="2092" w:type="dxa"/>
            <w:gridSpan w:val="2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726AB2">
              <w:rPr>
                <w:rFonts w:ascii="Arial" w:eastAsia="Times New Roman" w:hAnsi="Arial" w:cs="Arial"/>
                <w:bCs/>
                <w:sz w:val="16"/>
                <w:szCs w:val="20"/>
                <w:lang w:val="en-GB"/>
              </w:rPr>
              <w:t>3MAE1I05</w:t>
            </w:r>
          </w:p>
        </w:tc>
        <w:tc>
          <w:tcPr>
            <w:tcW w:w="7530" w:type="dxa"/>
            <w:gridSpan w:val="9"/>
            <w:vMerge/>
          </w:tcPr>
          <w:p w:rsidR="001C49F6" w:rsidRPr="00726AB2" w:rsidRDefault="001C49F6" w:rsidP="00F94DB3">
            <w:pPr>
              <w:rPr>
                <w:lang w:val="en-GB"/>
              </w:rPr>
            </w:pPr>
          </w:p>
        </w:tc>
      </w:tr>
      <w:tr w:rsidR="001C49F6" w:rsidRPr="00726AB2" w:rsidTr="00F94DB3">
        <w:tc>
          <w:tcPr>
            <w:tcW w:w="2092" w:type="dxa"/>
            <w:gridSpan w:val="2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Number of ECTS: 6</w:t>
            </w:r>
          </w:p>
        </w:tc>
        <w:tc>
          <w:tcPr>
            <w:tcW w:w="7530" w:type="dxa"/>
            <w:gridSpan w:val="9"/>
            <w:vMerge/>
          </w:tcPr>
          <w:p w:rsidR="001C49F6" w:rsidRPr="00726AB2" w:rsidRDefault="001C49F6" w:rsidP="00F94DB3">
            <w:pPr>
              <w:rPr>
                <w:lang w:val="en-GB"/>
              </w:rPr>
            </w:pPr>
          </w:p>
        </w:tc>
      </w:tr>
      <w:tr w:rsidR="001C49F6" w:rsidRPr="00726AB2" w:rsidTr="00F94DB3">
        <w:tc>
          <w:tcPr>
            <w:tcW w:w="2092" w:type="dxa"/>
            <w:gridSpan w:val="2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1C49F6" w:rsidRPr="00726AB2" w:rsidRDefault="001C49F6" w:rsidP="00F94DB3">
            <w:pPr>
              <w:tabs>
                <w:tab w:val="left" w:pos="1322"/>
              </w:tabs>
              <w:rPr>
                <w:lang w:val="en-GB"/>
              </w:rPr>
            </w:pPr>
            <w:proofErr w:type="spellStart"/>
            <w:r w:rsidRPr="00726AB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Tihomir</w:t>
            </w:r>
            <w:proofErr w:type="spellEnd"/>
            <w:r w:rsidRPr="00726AB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S. </w:t>
            </w:r>
            <w:proofErr w:type="spellStart"/>
            <w:r w:rsidRPr="00726AB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Zoranović</w:t>
            </w:r>
            <w:proofErr w:type="spellEnd"/>
          </w:p>
        </w:tc>
      </w:tr>
      <w:tr w:rsidR="001C49F6" w:rsidRPr="00726AB2" w:rsidTr="00F94DB3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1C49F6" w:rsidRPr="00726AB2" w:rsidRDefault="001C49F6" w:rsidP="00F94DB3">
            <w:pPr>
              <w:rPr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1C49F6" w:rsidRPr="00726AB2" w:rsidTr="00F94DB3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C49F6" w:rsidRPr="00726AB2" w:rsidTr="00F94DB3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1C49F6" w:rsidRPr="00726AB2" w:rsidTr="00F94DB3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1C49F6" w:rsidRPr="00726AB2" w:rsidTr="00F94DB3">
        <w:tc>
          <w:tcPr>
            <w:tcW w:w="9622" w:type="dxa"/>
            <w:gridSpan w:val="11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3D4C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Introducing students to information</w:t>
            </w:r>
            <w:r>
              <w:rPr>
                <w:sz w:val="18"/>
                <w:szCs w:val="18"/>
                <w:lang w:val="en-GB"/>
              </w:rPr>
              <w:t xml:space="preserve"> and </w:t>
            </w:r>
            <w:r w:rsidRPr="00726AB2">
              <w:rPr>
                <w:sz w:val="18"/>
                <w:szCs w:val="18"/>
                <w:lang w:val="en-GB"/>
              </w:rPr>
              <w:t>communication technologies, methods, procedures, practices and computer programmes for secure data manipulation.</w:t>
            </w:r>
          </w:p>
        </w:tc>
      </w:tr>
      <w:tr w:rsidR="001C49F6" w:rsidRPr="00726AB2" w:rsidTr="00F94DB3">
        <w:tc>
          <w:tcPr>
            <w:tcW w:w="9622" w:type="dxa"/>
            <w:gridSpan w:val="11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3D4C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1C49F6" w:rsidRPr="00726AB2" w:rsidRDefault="001C49F6" w:rsidP="00F94DB3">
            <w:pPr>
              <w:rPr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 xml:space="preserve">Students will be </w:t>
            </w:r>
            <w:r>
              <w:rPr>
                <w:sz w:val="18"/>
                <w:szCs w:val="18"/>
                <w:lang w:val="en-GB"/>
              </w:rPr>
              <w:t xml:space="preserve">able to </w:t>
            </w:r>
            <w:r w:rsidRPr="00726AB2">
              <w:rPr>
                <w:sz w:val="18"/>
                <w:szCs w:val="18"/>
                <w:lang w:val="en-GB"/>
              </w:rPr>
              <w:t>recogni</w:t>
            </w:r>
            <w:r>
              <w:rPr>
                <w:sz w:val="18"/>
                <w:szCs w:val="18"/>
                <w:lang w:val="en-GB"/>
              </w:rPr>
              <w:t>se and</w:t>
            </w:r>
            <w:r w:rsidRPr="00726AB2">
              <w:rPr>
                <w:sz w:val="18"/>
                <w:szCs w:val="18"/>
                <w:lang w:val="en-GB"/>
              </w:rPr>
              <w:t xml:space="preserve"> mathematical</w:t>
            </w:r>
            <w:r>
              <w:rPr>
                <w:sz w:val="18"/>
                <w:szCs w:val="18"/>
                <w:lang w:val="en-GB"/>
              </w:rPr>
              <w:t>ly</w:t>
            </w:r>
            <w:r w:rsidRPr="00726AB2">
              <w:rPr>
                <w:sz w:val="18"/>
                <w:szCs w:val="18"/>
                <w:lang w:val="en-GB"/>
              </w:rPr>
              <w:t xml:space="preserve"> defin</w:t>
            </w:r>
            <w:r>
              <w:rPr>
                <w:sz w:val="18"/>
                <w:szCs w:val="18"/>
                <w:lang w:val="en-GB"/>
              </w:rPr>
              <w:t>e</w:t>
            </w:r>
            <w:r w:rsidRPr="00726AB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problems, and to select</w:t>
            </w:r>
            <w:r w:rsidRPr="00726AB2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the </w:t>
            </w:r>
            <w:r w:rsidRPr="00726AB2">
              <w:rPr>
                <w:sz w:val="18"/>
                <w:szCs w:val="18"/>
                <w:lang w:val="en-GB"/>
              </w:rPr>
              <w:t>tools for logical data structuring in the field of agriculture.</w:t>
            </w:r>
          </w:p>
        </w:tc>
      </w:tr>
      <w:tr w:rsidR="001C49F6" w:rsidRPr="00726AB2" w:rsidTr="00F94DB3">
        <w:tc>
          <w:tcPr>
            <w:tcW w:w="9622" w:type="dxa"/>
            <w:gridSpan w:val="11"/>
          </w:tcPr>
          <w:p w:rsidR="001C49F6" w:rsidRPr="00726AB2" w:rsidRDefault="001C49F6" w:rsidP="001C49F6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1C49F6" w:rsidRPr="00726AB2" w:rsidRDefault="001C49F6" w:rsidP="00F94DB3">
            <w:pPr>
              <w:rPr>
                <w:i/>
                <w:sz w:val="18"/>
                <w:szCs w:val="18"/>
                <w:lang w:val="en-GB"/>
              </w:rPr>
            </w:pPr>
            <w:r w:rsidRPr="00726AB2">
              <w:rPr>
                <w:i/>
                <w:sz w:val="18"/>
                <w:szCs w:val="18"/>
                <w:lang w:val="en-GB"/>
              </w:rPr>
              <w:t>Theoretical Instruction</w:t>
            </w:r>
          </w:p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Information resources, information systems, computer systems, infrastructure, computer networks, data bases, data security, electronic business.</w:t>
            </w:r>
          </w:p>
          <w:p w:rsidR="001C49F6" w:rsidRPr="00726AB2" w:rsidRDefault="001C49F6" w:rsidP="00F94DB3">
            <w:pPr>
              <w:rPr>
                <w:i/>
                <w:sz w:val="18"/>
                <w:szCs w:val="18"/>
                <w:lang w:val="en-GB"/>
              </w:rPr>
            </w:pPr>
            <w:r w:rsidRPr="00726AB2">
              <w:rPr>
                <w:i/>
                <w:sz w:val="18"/>
                <w:szCs w:val="18"/>
                <w:lang w:val="en-GB"/>
              </w:rPr>
              <w:t>Practical Instruction: tutorials, other forms of instruction, study research work</w:t>
            </w:r>
          </w:p>
          <w:p w:rsidR="001C49F6" w:rsidRPr="00726AB2" w:rsidRDefault="001C49F6" w:rsidP="00F94DB3">
            <w:pPr>
              <w:rPr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Analysis of information systems, computer systems, examples of computer networks, forming data bases, data protection methods, struct</w:t>
            </w:r>
            <w:r>
              <w:rPr>
                <w:sz w:val="18"/>
                <w:szCs w:val="18"/>
                <w:lang w:val="en-GB"/>
              </w:rPr>
              <w:t xml:space="preserve">ure and mode of functioning of </w:t>
            </w:r>
            <w:r w:rsidRPr="00726AB2">
              <w:rPr>
                <w:sz w:val="18"/>
                <w:szCs w:val="18"/>
                <w:lang w:val="en-GB"/>
              </w:rPr>
              <w:t>electronic business and electronic commerce.</w:t>
            </w:r>
          </w:p>
        </w:tc>
      </w:tr>
      <w:tr w:rsidR="001C49F6" w:rsidRPr="00726AB2" w:rsidTr="00F94DB3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1C49F6" w:rsidRPr="00726AB2" w:rsidRDefault="001C49F6" w:rsidP="001C49F6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Lectures, tutorials and consultations.</w:t>
            </w:r>
          </w:p>
        </w:tc>
      </w:tr>
      <w:tr w:rsidR="001C49F6" w:rsidRPr="00726AB2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C49F6" w:rsidRPr="00726AB2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1C49F6" w:rsidRPr="00726AB2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6AB2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part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1C49F6" w:rsidRPr="00726AB2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C49F6" w:rsidRPr="00726AB2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sz w:val="18"/>
                <w:szCs w:val="18"/>
                <w:lang w:val="en-GB"/>
              </w:rPr>
            </w:pPr>
            <w:r w:rsidRPr="00726AB2">
              <w:rPr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C49F6" w:rsidRPr="00726AB2" w:rsidTr="00F94DB3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C49F6" w:rsidRPr="00726AB2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F6" w:rsidRPr="00726AB2" w:rsidRDefault="001C49F6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Methods of testing students’ knowledge can vary. The methods presented in the table are some of the options (written exam, oral exam, project presentation, seminar papers, etc.).</w:t>
            </w:r>
          </w:p>
        </w:tc>
      </w:tr>
      <w:tr w:rsidR="001C49F6" w:rsidRPr="00726AB2" w:rsidTr="00F94DB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1C49F6" w:rsidRPr="00726AB2" w:rsidRDefault="001C49F6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6AB2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Zoranović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T.,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Hotomski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P.,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Jeftić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Vesna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Unapređenje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prikupljanja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podataka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u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poljoprivredenoj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proizvodnji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upotrebom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savremenih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softverskih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rešenja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C49F6" w:rsidRPr="007B3D4C" w:rsidRDefault="001C49F6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Agroekonomika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br. 37-38, 2008, 67-74,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Poljoprivredni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fakultet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Novi Sad,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Srbija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. </w:t>
            </w:r>
          </w:p>
          <w:p w:rsidR="001C49F6" w:rsidRPr="007B3D4C" w:rsidRDefault="001C49F6" w:rsidP="00F94DB3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YU ISSN 0350-5928</w:t>
            </w:r>
          </w:p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2008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Zoranovic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, T.,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Berkovic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, Ivana,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Letic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, D.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Specijalizovani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model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za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optimizaciju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ratarske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proizvodnje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, </w:t>
            </w:r>
          </w:p>
        </w:tc>
        <w:tc>
          <w:tcPr>
            <w:tcW w:w="3661" w:type="dxa"/>
            <w:gridSpan w:val="4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Agroekonomika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br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41-42,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Poljoprivredni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fakultet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Novi Sad, str. 116-125, 2009</w:t>
            </w:r>
          </w:p>
        </w:tc>
        <w:tc>
          <w:tcPr>
            <w:tcW w:w="1150" w:type="dxa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2009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Zoranović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T.,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Potkonjak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Svetlana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Informacioni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sistemi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u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službi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poljoprivrednog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savetodavstva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Agroekonomika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br. 47-48,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Poljoprivredni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fakultet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, Novi Sad, 105-110, 2010</w:t>
            </w:r>
          </w:p>
        </w:tc>
        <w:tc>
          <w:tcPr>
            <w:tcW w:w="1150" w:type="dxa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2010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Zoranović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, T.,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Novković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, N.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B3D4C" w:rsidRDefault="001C49F6" w:rsidP="00F94DB3">
            <w:pPr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Software for managing cattle production for the client PIK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Bečej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 xml:space="preserve"> AD,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Bečej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. The technical solution developed within the project TR13013 “Web Portals for Data Analysis and Extension” financed by the Ministry for Science and Technological Development of the Republic of Serbia, 2010.</w:t>
            </w:r>
          </w:p>
        </w:tc>
        <w:tc>
          <w:tcPr>
            <w:tcW w:w="3661" w:type="dxa"/>
            <w:gridSpan w:val="4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2010</w:t>
            </w:r>
          </w:p>
        </w:tc>
      </w:tr>
      <w:tr w:rsidR="001C49F6" w:rsidRPr="00726AB2" w:rsidTr="00F94DB3">
        <w:tc>
          <w:tcPr>
            <w:tcW w:w="675" w:type="dxa"/>
            <w:vAlign w:val="center"/>
          </w:tcPr>
          <w:p w:rsidR="001C49F6" w:rsidRPr="007B3D4C" w:rsidRDefault="001C49F6" w:rsidP="001C49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Zoranović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T., </w:t>
            </w: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Potkonjak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Svetlana</w:t>
            </w:r>
          </w:p>
        </w:tc>
        <w:tc>
          <w:tcPr>
            <w:tcW w:w="2435" w:type="dxa"/>
            <w:gridSpan w:val="3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I</w:t>
            </w:r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zbor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sistema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za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navodnjavanje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primenom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višekriterijumskog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metoda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ELECTRE</w:t>
            </w:r>
          </w:p>
        </w:tc>
        <w:tc>
          <w:tcPr>
            <w:tcW w:w="3661" w:type="dxa"/>
            <w:gridSpan w:val="4"/>
            <w:vAlign w:val="center"/>
          </w:tcPr>
          <w:p w:rsidR="001C49F6" w:rsidRPr="007B3D4C" w:rsidRDefault="001C49F6" w:rsidP="00F94DB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Agroekonomika</w:t>
            </w:r>
            <w:proofErr w:type="spellEnd"/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,</w:t>
            </w:r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Poljoprivredni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fakultet</w:t>
            </w:r>
            <w:proofErr w:type="spellEnd"/>
            <w:r w:rsidRPr="007B3D4C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val="en-GB"/>
              </w:rPr>
              <w:t>, Novi Sad,</w:t>
            </w:r>
            <w:r w:rsidRPr="007B3D4C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 2011, str. 66-74,  YUISSN 0350-5928</w:t>
            </w:r>
          </w:p>
        </w:tc>
        <w:tc>
          <w:tcPr>
            <w:tcW w:w="1150" w:type="dxa"/>
            <w:vAlign w:val="center"/>
          </w:tcPr>
          <w:p w:rsidR="001C49F6" w:rsidRPr="007B3D4C" w:rsidRDefault="001C49F6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3D4C">
              <w:rPr>
                <w:rFonts w:ascii="Arial" w:hAnsi="Arial" w:cs="Arial"/>
                <w:sz w:val="14"/>
                <w:szCs w:val="14"/>
                <w:lang w:val="en-GB"/>
              </w:rPr>
              <w:t>2011</w:t>
            </w:r>
          </w:p>
        </w:tc>
      </w:tr>
    </w:tbl>
    <w:p w:rsidR="00C058E7" w:rsidRDefault="00C058E7" w:rsidP="003C10C1">
      <w:pPr>
        <w:spacing w:after="0" w:line="240" w:lineRule="auto"/>
      </w:pPr>
    </w:p>
    <w:sectPr w:rsidR="00C058E7" w:rsidSect="003C10C1">
      <w:headerReference w:type="default" r:id="rId5"/>
      <w:pgSz w:w="12240" w:h="15840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1C49F6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1C49F6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1C49F6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1C49F6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1C49F6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1C49F6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1C49F6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1C49F6" w:rsidP="00F94DB3">
          <w:pPr>
            <w:jc w:val="center"/>
            <w:rPr>
              <w:lang w:val="en-GB"/>
            </w:rPr>
          </w:pPr>
        </w:p>
        <w:p w:rsidR="00D12518" w:rsidRPr="007A20E8" w:rsidRDefault="001C49F6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1C49F6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1C49F6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1C49F6" w:rsidP="00D12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D1A"/>
    <w:multiLevelType w:val="hybridMultilevel"/>
    <w:tmpl w:val="7BE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17C6"/>
    <w:multiLevelType w:val="hybridMultilevel"/>
    <w:tmpl w:val="90B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9B9"/>
    <w:multiLevelType w:val="hybridMultilevel"/>
    <w:tmpl w:val="8DE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D2C"/>
    <w:multiLevelType w:val="hybridMultilevel"/>
    <w:tmpl w:val="A56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161E"/>
    <w:multiLevelType w:val="hybridMultilevel"/>
    <w:tmpl w:val="FEB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BA2"/>
    <w:rsid w:val="001C49F6"/>
    <w:rsid w:val="003C10C1"/>
    <w:rsid w:val="005E4CBD"/>
    <w:rsid w:val="008A6BA2"/>
    <w:rsid w:val="00C0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10C1"/>
  </w:style>
  <w:style w:type="character" w:customStyle="1" w:styleId="shorttext">
    <w:name w:val="short_text"/>
    <w:basedOn w:val="DefaultParagraphFont"/>
    <w:rsid w:val="003C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2</cp:revision>
  <dcterms:created xsi:type="dcterms:W3CDTF">2015-01-21T13:57:00Z</dcterms:created>
  <dcterms:modified xsi:type="dcterms:W3CDTF">2015-01-21T13:57:00Z</dcterms:modified>
</cp:coreProperties>
</file>