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1E39C4" w:rsidRPr="00B03C00" w:rsidTr="00F56900">
        <w:trPr>
          <w:trHeight w:val="420"/>
        </w:trPr>
        <w:tc>
          <w:tcPr>
            <w:tcW w:w="2122" w:type="dxa"/>
            <w:gridSpan w:val="2"/>
            <w:shd w:val="clear" w:color="auto" w:fill="C2D69B" w:themeFill="accent3" w:themeFillTint="99"/>
            <w:vAlign w:val="center"/>
          </w:tcPr>
          <w:p w:rsidR="001E39C4" w:rsidRPr="00B03C00" w:rsidRDefault="001E39C4" w:rsidP="00F56900">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1E39C4" w:rsidRPr="005205FA" w:rsidRDefault="001E39C4" w:rsidP="00F56900">
            <w:pPr>
              <w:jc w:val="center"/>
              <w:rPr>
                <w:rFonts w:ascii="Arial" w:hAnsi="Arial" w:cs="Arial"/>
                <w:b/>
                <w:sz w:val="24"/>
                <w:szCs w:val="24"/>
              </w:rPr>
            </w:pPr>
            <w:r>
              <w:rPr>
                <w:rFonts w:ascii="Arial" w:eastAsia="Times New Roman" w:hAnsi="Arial" w:cs="Arial"/>
                <w:b/>
                <w:color w:val="000000"/>
                <w:sz w:val="24"/>
                <w:szCs w:val="24"/>
                <w:lang w:val="en-GB"/>
              </w:rPr>
              <w:t>Hunting Tourism</w:t>
            </w:r>
            <w:r w:rsidRPr="005205FA">
              <w:rPr>
                <w:rFonts w:ascii="Arial" w:eastAsia="Times New Roman" w:hAnsi="Arial" w:cs="Arial"/>
                <w:b/>
                <w:color w:val="000000"/>
                <w:sz w:val="24"/>
                <w:szCs w:val="24"/>
                <w:lang w:val="en-GB"/>
              </w:rPr>
              <w:t xml:space="preserve"> </w:t>
            </w:r>
          </w:p>
        </w:tc>
      </w:tr>
      <w:tr w:rsidR="001E39C4" w:rsidRPr="00B03C00" w:rsidTr="00F56900">
        <w:tc>
          <w:tcPr>
            <w:tcW w:w="2122" w:type="dxa"/>
            <w:gridSpan w:val="2"/>
            <w:vAlign w:val="center"/>
          </w:tcPr>
          <w:p w:rsidR="001E39C4" w:rsidRPr="000E460F" w:rsidRDefault="001E39C4" w:rsidP="00F56900">
            <w:pPr>
              <w:rPr>
                <w:rFonts w:ascii="Arial" w:hAnsi="Arial" w:cs="Arial"/>
                <w:bCs/>
                <w:sz w:val="16"/>
                <w:szCs w:val="16"/>
                <w:lang w:val="ru-RU"/>
              </w:rPr>
            </w:pPr>
            <w:r>
              <w:rPr>
                <w:rFonts w:ascii="Arial" w:hAnsi="Arial" w:cs="Arial"/>
                <w:sz w:val="16"/>
                <w:szCs w:val="16"/>
                <w:lang w:val="en-GB"/>
              </w:rPr>
              <w:t xml:space="preserve">Course id: </w:t>
            </w:r>
            <w:r w:rsidRPr="000E460F">
              <w:rPr>
                <w:rFonts w:ascii="Arial" w:hAnsi="Arial" w:cs="Arial"/>
                <w:sz w:val="16"/>
                <w:szCs w:val="16"/>
              </w:rPr>
              <w:t>7О</w:t>
            </w:r>
            <w:r w:rsidRPr="000E460F">
              <w:rPr>
                <w:rFonts w:ascii="Arial" w:hAnsi="Arial" w:cs="Arial"/>
                <w:sz w:val="16"/>
                <w:szCs w:val="16"/>
                <w:lang w:val="sr-Cyrl-CS"/>
              </w:rPr>
              <w:t>АТ3О</w:t>
            </w:r>
            <w:r w:rsidRPr="000E460F">
              <w:rPr>
                <w:rFonts w:ascii="Arial" w:hAnsi="Arial" w:cs="Arial"/>
                <w:sz w:val="16"/>
                <w:szCs w:val="16"/>
              </w:rPr>
              <w:t>16</w:t>
            </w:r>
            <w:r>
              <w:rPr>
                <w:rFonts w:ascii="Arial" w:hAnsi="Arial" w:cs="Arial"/>
                <w:sz w:val="16"/>
                <w:szCs w:val="16"/>
                <w:lang w:val="en-GB"/>
              </w:rPr>
              <w:t xml:space="preserve"> </w:t>
            </w:r>
          </w:p>
        </w:tc>
        <w:tc>
          <w:tcPr>
            <w:tcW w:w="7498" w:type="dxa"/>
            <w:gridSpan w:val="9"/>
            <w:vMerge/>
          </w:tcPr>
          <w:p w:rsidR="001E39C4" w:rsidRPr="00B03C00" w:rsidRDefault="001E39C4" w:rsidP="00F56900">
            <w:pPr>
              <w:rPr>
                <w:rFonts w:ascii="Arial" w:hAnsi="Arial" w:cs="Arial"/>
                <w:lang w:val="en-GB"/>
              </w:rPr>
            </w:pPr>
          </w:p>
        </w:tc>
      </w:tr>
      <w:tr w:rsidR="001E39C4" w:rsidRPr="00B03C00" w:rsidTr="00F56900">
        <w:tc>
          <w:tcPr>
            <w:tcW w:w="2122" w:type="dxa"/>
            <w:gridSpan w:val="2"/>
            <w:vAlign w:val="center"/>
          </w:tcPr>
          <w:p w:rsidR="001E39C4" w:rsidRPr="00B03C00" w:rsidRDefault="001E39C4" w:rsidP="00F56900">
            <w:pPr>
              <w:rPr>
                <w:rFonts w:ascii="Arial" w:hAnsi="Arial" w:cs="Arial"/>
                <w:sz w:val="16"/>
                <w:szCs w:val="16"/>
                <w:lang w:val="en-GB"/>
              </w:rPr>
            </w:pPr>
            <w:r w:rsidRPr="00B03C00">
              <w:rPr>
                <w:rFonts w:ascii="Arial" w:hAnsi="Arial" w:cs="Arial"/>
                <w:sz w:val="16"/>
                <w:szCs w:val="16"/>
                <w:lang w:val="en-GB"/>
              </w:rPr>
              <w:t xml:space="preserve">Number of ECTS: </w:t>
            </w:r>
            <w:r>
              <w:rPr>
                <w:rFonts w:ascii="Arial" w:hAnsi="Arial" w:cs="Arial"/>
                <w:sz w:val="16"/>
                <w:szCs w:val="16"/>
                <w:lang w:val="en-GB"/>
              </w:rPr>
              <w:t>4</w:t>
            </w:r>
          </w:p>
        </w:tc>
        <w:tc>
          <w:tcPr>
            <w:tcW w:w="7498" w:type="dxa"/>
            <w:gridSpan w:val="9"/>
            <w:vMerge/>
          </w:tcPr>
          <w:p w:rsidR="001E39C4" w:rsidRPr="00B03C00" w:rsidRDefault="001E39C4" w:rsidP="00F56900">
            <w:pPr>
              <w:rPr>
                <w:rFonts w:ascii="Arial" w:hAnsi="Arial" w:cs="Arial"/>
                <w:lang w:val="en-GB"/>
              </w:rPr>
            </w:pPr>
          </w:p>
        </w:tc>
      </w:tr>
      <w:tr w:rsidR="001E39C4" w:rsidRPr="00D621A4" w:rsidTr="00F56900">
        <w:trPr>
          <w:trHeight w:val="94"/>
        </w:trPr>
        <w:tc>
          <w:tcPr>
            <w:tcW w:w="2122" w:type="dxa"/>
            <w:gridSpan w:val="2"/>
            <w:vAlign w:val="center"/>
          </w:tcPr>
          <w:p w:rsidR="001E39C4" w:rsidRPr="00B25814" w:rsidRDefault="001E39C4" w:rsidP="00F56900">
            <w:pPr>
              <w:rPr>
                <w:rFonts w:ascii="Arial" w:hAnsi="Arial" w:cs="Arial"/>
                <w:sz w:val="16"/>
                <w:szCs w:val="16"/>
              </w:rPr>
            </w:pPr>
            <w:r>
              <w:rPr>
                <w:rFonts w:ascii="Arial" w:hAnsi="Arial" w:cs="Arial"/>
                <w:sz w:val="16"/>
                <w:szCs w:val="16"/>
                <w:lang w:val="en-GB"/>
              </w:rPr>
              <w:t>Teacher:</w:t>
            </w:r>
          </w:p>
        </w:tc>
        <w:tc>
          <w:tcPr>
            <w:tcW w:w="7498" w:type="dxa"/>
            <w:gridSpan w:val="9"/>
          </w:tcPr>
          <w:p w:rsidR="001E39C4" w:rsidRPr="005A33BB" w:rsidRDefault="001E39C4" w:rsidP="00F56900">
            <w:pPr>
              <w:rPr>
                <w:rFonts w:ascii="Arial" w:hAnsi="Arial" w:cs="Arial"/>
                <w:lang w:val="de-DE"/>
              </w:rPr>
            </w:pPr>
            <w:r w:rsidRPr="005A33BB">
              <w:rPr>
                <w:rFonts w:ascii="Arial" w:hAnsi="Arial" w:cs="Arial"/>
                <w:lang w:val="de-DE"/>
              </w:rPr>
              <w:t>Professor Miloš T. Beuković, PhD</w:t>
            </w:r>
          </w:p>
        </w:tc>
      </w:tr>
      <w:tr w:rsidR="001E39C4" w:rsidRPr="00B03C00" w:rsidTr="00F56900">
        <w:trPr>
          <w:trHeight w:val="94"/>
        </w:trPr>
        <w:tc>
          <w:tcPr>
            <w:tcW w:w="2122" w:type="dxa"/>
            <w:gridSpan w:val="2"/>
            <w:vAlign w:val="center"/>
          </w:tcPr>
          <w:p w:rsidR="001E39C4" w:rsidRDefault="001E39C4" w:rsidP="00F56900">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1E39C4" w:rsidRPr="007F2A1D" w:rsidRDefault="001E39C4" w:rsidP="00F56900">
            <w:pPr>
              <w:rPr>
                <w:rFonts w:ascii="Arial" w:hAnsi="Arial" w:cs="Arial"/>
              </w:rPr>
            </w:pPr>
            <w:r>
              <w:rPr>
                <w:rFonts w:ascii="Arial" w:hAnsi="Arial" w:cs="Arial"/>
              </w:rPr>
              <w:t xml:space="preserve">Dejan M. </w:t>
            </w:r>
            <w:proofErr w:type="spellStart"/>
            <w:r>
              <w:rPr>
                <w:rFonts w:ascii="Arial" w:hAnsi="Arial" w:cs="Arial"/>
              </w:rPr>
              <w:t>Beuković</w:t>
            </w:r>
            <w:proofErr w:type="spellEnd"/>
            <w:r>
              <w:rPr>
                <w:rFonts w:ascii="Arial" w:hAnsi="Arial" w:cs="Arial"/>
              </w:rPr>
              <w:t xml:space="preserve">, </w:t>
            </w:r>
            <w:proofErr w:type="spellStart"/>
            <w:r>
              <w:rPr>
                <w:rFonts w:ascii="Arial" w:hAnsi="Arial" w:cs="Arial"/>
              </w:rPr>
              <w:t>MSc</w:t>
            </w:r>
            <w:proofErr w:type="spellEnd"/>
          </w:p>
        </w:tc>
      </w:tr>
      <w:tr w:rsidR="001E39C4" w:rsidRPr="00B03C00" w:rsidTr="00F56900">
        <w:tc>
          <w:tcPr>
            <w:tcW w:w="2122" w:type="dxa"/>
            <w:gridSpan w:val="2"/>
            <w:tcBorders>
              <w:bottom w:val="single" w:sz="4" w:space="0" w:color="auto"/>
            </w:tcBorders>
            <w:vAlign w:val="center"/>
          </w:tcPr>
          <w:p w:rsidR="001E39C4" w:rsidRPr="00B03C00" w:rsidRDefault="001E39C4" w:rsidP="00F56900">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1E39C4" w:rsidRPr="00B03C00" w:rsidRDefault="001E39C4" w:rsidP="00F56900">
            <w:pPr>
              <w:rPr>
                <w:rFonts w:ascii="Arial" w:hAnsi="Arial" w:cs="Arial"/>
                <w:lang w:val="en-GB"/>
              </w:rPr>
            </w:pPr>
            <w:r w:rsidRPr="00B03C00">
              <w:rPr>
                <w:rFonts w:ascii="Arial" w:hAnsi="Arial" w:cs="Arial"/>
                <w:sz w:val="18"/>
                <w:szCs w:val="18"/>
                <w:lang w:val="en-GB"/>
              </w:rPr>
              <w:t>Mandatory</w:t>
            </w:r>
          </w:p>
        </w:tc>
      </w:tr>
      <w:tr w:rsidR="001E39C4"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1E39C4" w:rsidRPr="00B03C00" w:rsidRDefault="001E39C4"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1E39C4" w:rsidRPr="00B03C00" w:rsidTr="00F56900">
        <w:trPr>
          <w:trHeight w:val="227"/>
        </w:trPr>
        <w:tc>
          <w:tcPr>
            <w:tcW w:w="2122"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2</w:t>
            </w:r>
          </w:p>
        </w:tc>
        <w:tc>
          <w:tcPr>
            <w:tcW w:w="1975" w:type="dxa"/>
            <w:gridSpan w:val="3"/>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1</w:t>
            </w:r>
          </w:p>
        </w:tc>
        <w:tc>
          <w:tcPr>
            <w:tcW w:w="1834"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1E39C4" w:rsidRPr="00B03C00" w:rsidTr="00F56900">
        <w:tc>
          <w:tcPr>
            <w:tcW w:w="2122" w:type="dxa"/>
            <w:gridSpan w:val="2"/>
            <w:shd w:val="clear" w:color="auto" w:fill="C2D69B" w:themeFill="accent3" w:themeFillTint="99"/>
            <w:vAlign w:val="center"/>
          </w:tcPr>
          <w:p w:rsidR="001E39C4" w:rsidRPr="00B03C00" w:rsidRDefault="001E39C4" w:rsidP="00F56900">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1E39C4" w:rsidRPr="00B03C00" w:rsidRDefault="001E39C4" w:rsidP="00F56900">
            <w:pPr>
              <w:rPr>
                <w:rFonts w:ascii="Arial" w:hAnsi="Arial" w:cs="Arial"/>
                <w:sz w:val="16"/>
                <w:szCs w:val="16"/>
                <w:lang w:val="en-GB"/>
              </w:rPr>
            </w:pPr>
            <w:r w:rsidRPr="00B03C00">
              <w:rPr>
                <w:rFonts w:ascii="Arial" w:hAnsi="Arial" w:cs="Arial"/>
                <w:sz w:val="16"/>
                <w:szCs w:val="16"/>
                <w:lang w:val="en-GB"/>
              </w:rPr>
              <w:t>None</w:t>
            </w:r>
          </w:p>
        </w:tc>
      </w:tr>
      <w:tr w:rsidR="001E39C4" w:rsidRPr="00B03C00" w:rsidTr="00F56900">
        <w:tc>
          <w:tcPr>
            <w:tcW w:w="9620" w:type="dxa"/>
            <w:gridSpan w:val="11"/>
          </w:tcPr>
          <w:p w:rsidR="001E39C4" w:rsidRPr="003935F3" w:rsidRDefault="001E39C4"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1E39C4" w:rsidRPr="002A1B2D" w:rsidRDefault="001E39C4" w:rsidP="00F56900">
            <w:pPr>
              <w:pStyle w:val="ListParagraph"/>
              <w:ind w:left="284"/>
              <w:rPr>
                <w:rFonts w:ascii="Arial" w:hAnsi="Arial" w:cs="Arial"/>
                <w:sz w:val="16"/>
                <w:szCs w:val="16"/>
                <w:lang w:val="en-GB"/>
              </w:rPr>
            </w:pPr>
            <w:r>
              <w:rPr>
                <w:rFonts w:ascii="Arial" w:hAnsi="Arial" w:cs="Arial"/>
                <w:sz w:val="16"/>
                <w:szCs w:val="16"/>
                <w:lang w:val="en-GB"/>
              </w:rPr>
              <w:t xml:space="preserve">Educating students for direct work in hunting and the hunting tourism. Upon completion of the study programme, students will be capable of developing and applying their knowledge in the field of hunting and the hunting tourism.    </w:t>
            </w:r>
            <w:r w:rsidRPr="00B03C00">
              <w:rPr>
                <w:rFonts w:ascii="Arial" w:hAnsi="Arial" w:cs="Arial"/>
                <w:sz w:val="16"/>
                <w:szCs w:val="16"/>
                <w:lang w:val="en-GB"/>
              </w:rPr>
              <w:t xml:space="preserve">  </w:t>
            </w:r>
          </w:p>
        </w:tc>
      </w:tr>
      <w:tr w:rsidR="001E39C4" w:rsidRPr="00B03C00" w:rsidTr="00F56900">
        <w:tc>
          <w:tcPr>
            <w:tcW w:w="9620" w:type="dxa"/>
            <w:gridSpan w:val="11"/>
          </w:tcPr>
          <w:p w:rsidR="001E39C4" w:rsidRPr="003935F3" w:rsidRDefault="001E39C4"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1E39C4" w:rsidRPr="009A1238" w:rsidRDefault="001E39C4" w:rsidP="00F56900">
            <w:pPr>
              <w:pStyle w:val="ListParagraph"/>
              <w:ind w:left="284"/>
              <w:rPr>
                <w:rFonts w:ascii="Arial" w:hAnsi="Arial" w:cs="Arial"/>
                <w:sz w:val="16"/>
                <w:szCs w:val="16"/>
                <w:lang w:val="en-GB"/>
              </w:rPr>
            </w:pPr>
            <w:r>
              <w:rPr>
                <w:rFonts w:ascii="Arial" w:hAnsi="Arial" w:cs="Arial"/>
                <w:sz w:val="16"/>
                <w:szCs w:val="16"/>
                <w:lang w:val="en-GB"/>
              </w:rPr>
              <w:t xml:space="preserve">Creating experts with academic education and comprehensive knowledge necessary for understanding the basics of hunting and the hunting industry, as well as the hunting tourism as a specific type of tourism. The acquired knowledge upon completion of the undergraduate academic studies will ensure the competence for working in hunting and the hunting tourism.  </w:t>
            </w:r>
          </w:p>
        </w:tc>
      </w:tr>
      <w:tr w:rsidR="001E39C4" w:rsidRPr="00B03C00" w:rsidTr="00F56900">
        <w:tc>
          <w:tcPr>
            <w:tcW w:w="9620" w:type="dxa"/>
            <w:gridSpan w:val="11"/>
          </w:tcPr>
          <w:p w:rsidR="001E39C4" w:rsidRPr="003935F3" w:rsidRDefault="001E39C4"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1E39C4" w:rsidRDefault="001E39C4" w:rsidP="00F56900">
            <w:pPr>
              <w:pStyle w:val="ListParagraph"/>
              <w:ind w:left="284"/>
              <w:rPr>
                <w:rFonts w:ascii="Arial" w:hAnsi="Arial" w:cs="Arial"/>
                <w:sz w:val="16"/>
                <w:szCs w:val="16"/>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sidRPr="00343408">
              <w:rPr>
                <w:rFonts w:ascii="Arial" w:hAnsi="Arial" w:cs="Arial"/>
                <w:sz w:val="16"/>
                <w:szCs w:val="16"/>
                <w:lang w:val="en-GB"/>
              </w:rPr>
              <w:t>Basics of the hunting tourism: concept, origin and features.</w:t>
            </w:r>
            <w:r>
              <w:rPr>
                <w:rFonts w:ascii="Arial" w:hAnsi="Arial" w:cs="Arial"/>
                <w:sz w:val="16"/>
                <w:szCs w:val="16"/>
                <w:lang w:val="en-GB"/>
              </w:rPr>
              <w:t xml:space="preserve"> The hunting tourism as an industry: hunting tourism resources, hunting tourism demand and supply. Biology of wildlife mammals: deer, fallow deer, doe, </w:t>
            </w:r>
            <w:proofErr w:type="spellStart"/>
            <w:r>
              <w:rPr>
                <w:rFonts w:ascii="Arial" w:hAnsi="Arial" w:cs="Arial"/>
                <w:sz w:val="16"/>
                <w:szCs w:val="16"/>
                <w:lang w:val="en-GB"/>
              </w:rPr>
              <w:t>mouflon</w:t>
            </w:r>
            <w:proofErr w:type="spellEnd"/>
            <w:r>
              <w:rPr>
                <w:rFonts w:ascii="Arial" w:hAnsi="Arial" w:cs="Arial"/>
                <w:sz w:val="16"/>
                <w:szCs w:val="16"/>
                <w:lang w:val="en-GB"/>
              </w:rPr>
              <w:t xml:space="preserve">, </w:t>
            </w:r>
            <w:r w:rsidRPr="00CE2C20">
              <w:rPr>
                <w:rFonts w:ascii="Arial" w:hAnsi="Arial" w:cs="Arial"/>
                <w:sz w:val="16"/>
                <w:szCs w:val="16"/>
              </w:rPr>
              <w:t>chamois</w:t>
            </w:r>
            <w:r>
              <w:rPr>
                <w:rFonts w:ascii="Arial" w:hAnsi="Arial" w:cs="Arial"/>
                <w:sz w:val="16"/>
                <w:szCs w:val="16"/>
              </w:rPr>
              <w:t>, wild boar, rabbit, bear, wolf, jackal, fox, bobcat, wild cat, pine marten, badger, otter, weasel. Bird biology: pheasant, grey partridge, rock partridge, quail,</w:t>
            </w:r>
            <w:r w:rsidRPr="00974C2F">
              <w:t xml:space="preserve"> </w:t>
            </w:r>
            <w:r w:rsidRPr="00974C2F">
              <w:rPr>
                <w:rFonts w:ascii="Arial" w:hAnsi="Arial" w:cs="Arial"/>
                <w:sz w:val="16"/>
                <w:szCs w:val="16"/>
              </w:rPr>
              <w:t xml:space="preserve">western </w:t>
            </w:r>
            <w:proofErr w:type="spellStart"/>
            <w:r w:rsidRPr="00974C2F">
              <w:rPr>
                <w:rFonts w:ascii="Arial" w:hAnsi="Arial" w:cs="Arial"/>
                <w:sz w:val="16"/>
                <w:szCs w:val="16"/>
              </w:rPr>
              <w:t>capercaillie</w:t>
            </w:r>
            <w:proofErr w:type="spellEnd"/>
            <w:r>
              <w:rPr>
                <w:rFonts w:ascii="Arial" w:hAnsi="Arial" w:cs="Arial"/>
                <w:sz w:val="16"/>
                <w:szCs w:val="16"/>
              </w:rPr>
              <w:t xml:space="preserve">, black grouse, hazel grouse, wild duck, wild goose, eagle, falcon, owl, crow, magpie, pigeon, turtle dove, </w:t>
            </w:r>
            <w:r w:rsidRPr="00F80697">
              <w:rPr>
                <w:rFonts w:ascii="Arial" w:hAnsi="Arial" w:cs="Arial"/>
                <w:sz w:val="16"/>
                <w:szCs w:val="16"/>
              </w:rPr>
              <w:t>collared dove</w:t>
            </w:r>
            <w:r>
              <w:rPr>
                <w:rFonts w:ascii="Arial" w:hAnsi="Arial" w:cs="Arial"/>
                <w:sz w:val="16"/>
                <w:szCs w:val="16"/>
              </w:rPr>
              <w:t xml:space="preserve">, woodcock. Wildlife legal and hunting classification. Planning and </w:t>
            </w:r>
            <w:proofErr w:type="spellStart"/>
            <w:r>
              <w:rPr>
                <w:rFonts w:ascii="Arial" w:hAnsi="Arial" w:cs="Arial"/>
                <w:sz w:val="16"/>
                <w:szCs w:val="16"/>
              </w:rPr>
              <w:t>organising</w:t>
            </w:r>
            <w:proofErr w:type="spellEnd"/>
            <w:r>
              <w:rPr>
                <w:rFonts w:ascii="Arial" w:hAnsi="Arial" w:cs="Arial"/>
                <w:sz w:val="16"/>
                <w:szCs w:val="16"/>
              </w:rPr>
              <w:t xml:space="preserve"> hunting facilities: hunting grounds, hunting basis, annual management. The concept of a hunting ground and site class. Hunting techniques. Hunting tourism. Shot game handling. Game capture and transport. Hunting laws, regulations and ethics. Hunting weapons, ammunition and ballistics. </w:t>
            </w:r>
            <w:proofErr w:type="spellStart"/>
            <w:r>
              <w:rPr>
                <w:rFonts w:ascii="Arial" w:hAnsi="Arial" w:cs="Arial"/>
                <w:sz w:val="16"/>
                <w:szCs w:val="16"/>
              </w:rPr>
              <w:t>Caninology</w:t>
            </w:r>
            <w:proofErr w:type="spellEnd"/>
            <w:r>
              <w:rPr>
                <w:rFonts w:ascii="Arial" w:hAnsi="Arial" w:cs="Arial"/>
                <w:sz w:val="16"/>
                <w:szCs w:val="16"/>
              </w:rPr>
              <w:t xml:space="preserve">: dog breeds. Trophy hunting: trophy preparation and marking. Hunting show and fairs. </w:t>
            </w:r>
          </w:p>
          <w:p w:rsidR="001E39C4" w:rsidRPr="000838F4" w:rsidRDefault="001E39C4" w:rsidP="00F56900">
            <w:pPr>
              <w:pStyle w:val="ListParagraph"/>
              <w:ind w:left="284"/>
              <w:rPr>
                <w:rFonts w:ascii="Arial" w:hAnsi="Arial" w:cs="Arial"/>
                <w:sz w:val="16"/>
                <w:szCs w:val="16"/>
                <w:lang w:val="en-GB"/>
              </w:rPr>
            </w:pPr>
            <w:r>
              <w:rPr>
                <w:rFonts w:ascii="Arial" w:hAnsi="Arial" w:cs="Arial"/>
                <w:i/>
                <w:sz w:val="16"/>
                <w:szCs w:val="16"/>
                <w:lang w:val="en-GB"/>
              </w:rPr>
              <w:t>Practical Instruction:</w:t>
            </w:r>
            <w:r>
              <w:rPr>
                <w:rFonts w:ascii="Arial" w:hAnsi="Arial" w:cs="Arial"/>
                <w:sz w:val="16"/>
                <w:szCs w:val="16"/>
              </w:rPr>
              <w:t xml:space="preserve"> Wild game biology: </w:t>
            </w:r>
            <w:proofErr w:type="spellStart"/>
            <w:r>
              <w:rPr>
                <w:rFonts w:ascii="Arial" w:hAnsi="Arial" w:cs="Arial"/>
                <w:sz w:val="16"/>
                <w:szCs w:val="16"/>
              </w:rPr>
              <w:t>recognising</w:t>
            </w:r>
            <w:proofErr w:type="spellEnd"/>
            <w:r>
              <w:rPr>
                <w:rFonts w:ascii="Arial" w:hAnsi="Arial" w:cs="Arial"/>
                <w:sz w:val="16"/>
                <w:szCs w:val="16"/>
              </w:rPr>
              <w:t xml:space="preserve"> game in preparations. Planning and </w:t>
            </w:r>
            <w:proofErr w:type="spellStart"/>
            <w:r>
              <w:rPr>
                <w:rFonts w:ascii="Arial" w:hAnsi="Arial" w:cs="Arial"/>
                <w:sz w:val="16"/>
                <w:szCs w:val="16"/>
              </w:rPr>
              <w:t>organising</w:t>
            </w:r>
            <w:proofErr w:type="spellEnd"/>
            <w:r>
              <w:rPr>
                <w:rFonts w:ascii="Arial" w:hAnsi="Arial" w:cs="Arial"/>
                <w:sz w:val="16"/>
                <w:szCs w:val="16"/>
              </w:rPr>
              <w:t xml:space="preserve"> hunting ground management. Designing annual plans and hunting bases. Hunting ground site classification. </w:t>
            </w:r>
            <w:proofErr w:type="spellStart"/>
            <w:r>
              <w:rPr>
                <w:rFonts w:ascii="Arial" w:hAnsi="Arial" w:cs="Arial"/>
                <w:sz w:val="16"/>
                <w:szCs w:val="16"/>
              </w:rPr>
              <w:t>Organisation</w:t>
            </w:r>
            <w:proofErr w:type="spellEnd"/>
            <w:r>
              <w:rPr>
                <w:rFonts w:ascii="Arial" w:hAnsi="Arial" w:cs="Arial"/>
                <w:sz w:val="16"/>
                <w:szCs w:val="16"/>
              </w:rPr>
              <w:t xml:space="preserve"> and game counting techniques. Field practice with the focus on game breeding, hunting grounds, game farms, hunting breeding and technical facilities. Types of weaponry and ammunition. </w:t>
            </w:r>
            <w:proofErr w:type="spellStart"/>
            <w:r>
              <w:rPr>
                <w:rFonts w:ascii="Arial" w:hAnsi="Arial" w:cs="Arial"/>
                <w:sz w:val="16"/>
                <w:szCs w:val="16"/>
              </w:rPr>
              <w:t>Caninology</w:t>
            </w:r>
            <w:proofErr w:type="spellEnd"/>
            <w:r>
              <w:rPr>
                <w:rFonts w:ascii="Arial" w:hAnsi="Arial" w:cs="Arial"/>
                <w:sz w:val="16"/>
                <w:szCs w:val="16"/>
              </w:rPr>
              <w:t xml:space="preserve">: </w:t>
            </w:r>
            <w:proofErr w:type="gramStart"/>
            <w:r>
              <w:rPr>
                <w:rFonts w:ascii="Arial" w:hAnsi="Arial" w:cs="Arial"/>
                <w:sz w:val="16"/>
                <w:szCs w:val="16"/>
              </w:rPr>
              <w:t xml:space="preserve">dog </w:t>
            </w:r>
            <w:r w:rsidRPr="00703716">
              <w:rPr>
                <w:rFonts w:ascii="Arial" w:hAnsi="Arial" w:cs="Arial"/>
                <w:sz w:val="16"/>
                <w:szCs w:val="16"/>
                <w:lang w:val="en-GB"/>
              </w:rPr>
              <w:t>breed</w:t>
            </w:r>
            <w:proofErr w:type="gramEnd"/>
            <w:r>
              <w:rPr>
                <w:rFonts w:ascii="Arial" w:hAnsi="Arial" w:cs="Arial"/>
                <w:sz w:val="16"/>
                <w:szCs w:val="16"/>
              </w:rPr>
              <w:t xml:space="preserve"> recognition. Trophy game: trophy marking.       </w:t>
            </w:r>
            <w:r w:rsidRPr="00F80697">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lang w:val="en-GB"/>
              </w:rPr>
              <w:t xml:space="preserve"> </w:t>
            </w:r>
            <w:r w:rsidRPr="00343408">
              <w:rPr>
                <w:rFonts w:ascii="Arial" w:hAnsi="Arial" w:cs="Arial"/>
                <w:sz w:val="16"/>
                <w:szCs w:val="16"/>
                <w:lang w:val="en-GB"/>
              </w:rPr>
              <w:t xml:space="preserve"> </w:t>
            </w:r>
          </w:p>
        </w:tc>
      </w:tr>
      <w:tr w:rsidR="001E39C4" w:rsidRPr="00B03C00" w:rsidTr="00F56900">
        <w:tc>
          <w:tcPr>
            <w:tcW w:w="9620" w:type="dxa"/>
            <w:gridSpan w:val="11"/>
            <w:tcBorders>
              <w:bottom w:val="single" w:sz="4" w:space="0" w:color="auto"/>
            </w:tcBorders>
          </w:tcPr>
          <w:p w:rsidR="001E39C4" w:rsidRPr="003935F3" w:rsidRDefault="001E39C4"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1E39C4" w:rsidRPr="000C472B" w:rsidRDefault="001E39C4" w:rsidP="00F56900">
            <w:pPr>
              <w:pStyle w:val="ListParagraph"/>
              <w:ind w:left="284"/>
              <w:rPr>
                <w:rFonts w:ascii="Arial" w:hAnsi="Arial" w:cs="Arial"/>
                <w:sz w:val="16"/>
                <w:szCs w:val="16"/>
                <w:lang w:val="en-GB"/>
              </w:rPr>
            </w:pPr>
            <w:r>
              <w:rPr>
                <w:rFonts w:ascii="Arial" w:hAnsi="Arial" w:cs="Arial"/>
                <w:sz w:val="16"/>
                <w:szCs w:val="16"/>
                <w:lang w:val="en-GB"/>
              </w:rPr>
              <w:t xml:space="preserve">Theoretical lectures with PPT presentations, oral lectures with active students’ participation, seminar papers, and tests. Practical instruction with video presentations, laboratory tutorials; visiting hunting grounds, game farms and hunting fairs.   </w:t>
            </w:r>
          </w:p>
        </w:tc>
      </w:tr>
      <w:tr w:rsidR="001E39C4" w:rsidRPr="00B03C00" w:rsidTr="00F56900">
        <w:tc>
          <w:tcPr>
            <w:tcW w:w="9620" w:type="dxa"/>
            <w:gridSpan w:val="11"/>
            <w:tcBorders>
              <w:bottom w:val="single" w:sz="4" w:space="0" w:color="auto"/>
            </w:tcBorders>
            <w:shd w:val="clear" w:color="auto" w:fill="C2D69B" w:themeFill="accent3" w:themeFillTint="99"/>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1E39C4" w:rsidRPr="00B03C00" w:rsidTr="00F56900">
        <w:tc>
          <w:tcPr>
            <w:tcW w:w="2403" w:type="dxa"/>
            <w:gridSpan w:val="3"/>
            <w:shd w:val="clear" w:color="auto" w:fill="auto"/>
            <w:vAlign w:val="center"/>
          </w:tcPr>
          <w:p w:rsidR="001E39C4" w:rsidRPr="00B03C00" w:rsidRDefault="001E39C4"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1E39C4" w:rsidRPr="00B03C00" w:rsidRDefault="001E39C4" w:rsidP="00F56900">
            <w:pPr>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Points</w:t>
            </w:r>
          </w:p>
        </w:tc>
      </w:tr>
      <w:tr w:rsidR="001E39C4" w:rsidRPr="00B03C00" w:rsidTr="00F56900">
        <w:trPr>
          <w:trHeight w:val="155"/>
        </w:trPr>
        <w:tc>
          <w:tcPr>
            <w:tcW w:w="2403" w:type="dxa"/>
            <w:gridSpan w:val="3"/>
            <w:shd w:val="clear" w:color="auto" w:fill="auto"/>
            <w:vAlign w:val="center"/>
          </w:tcPr>
          <w:p w:rsidR="001E39C4" w:rsidRPr="00A6460C" w:rsidRDefault="001E39C4" w:rsidP="00F56900">
            <w:pPr>
              <w:rPr>
                <w:rFonts w:ascii="Arial" w:hAnsi="Arial" w:cs="Arial"/>
                <w:sz w:val="16"/>
                <w:szCs w:val="16"/>
                <w:lang w:val="en-GB"/>
              </w:rPr>
            </w:pPr>
            <w:r w:rsidRPr="00A6460C">
              <w:rPr>
                <w:rFonts w:ascii="Arial" w:hAnsi="Arial" w:cs="Arial"/>
                <w:sz w:val="16"/>
                <w:szCs w:val="16"/>
                <w:lang w:val="en-GB"/>
              </w:rPr>
              <w:t>Lecture attendance</w:t>
            </w:r>
          </w:p>
        </w:tc>
        <w:tc>
          <w:tcPr>
            <w:tcW w:w="1132" w:type="dxa"/>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shd w:val="clear" w:color="auto" w:fill="auto"/>
            <w:vAlign w:val="center"/>
          </w:tcPr>
          <w:p w:rsidR="001E39C4" w:rsidRPr="00BD3DBD" w:rsidRDefault="001E39C4" w:rsidP="00F56900">
            <w:pPr>
              <w:jc w:val="center"/>
              <w:rPr>
                <w:rFonts w:ascii="Arial" w:hAnsi="Arial" w:cs="Arial"/>
                <w:b/>
                <w:sz w:val="16"/>
                <w:szCs w:val="16"/>
                <w:lang w:val="en-GB"/>
              </w:rPr>
            </w:pPr>
            <w:r>
              <w:rPr>
                <w:rFonts w:ascii="Arial" w:hAnsi="Arial" w:cs="Arial"/>
                <w:b/>
                <w:sz w:val="16"/>
                <w:szCs w:val="16"/>
                <w:lang w:val="en-GB"/>
              </w:rPr>
              <w:t>5</w:t>
            </w:r>
          </w:p>
        </w:tc>
        <w:tc>
          <w:tcPr>
            <w:tcW w:w="2513" w:type="dxa"/>
            <w:gridSpan w:val="2"/>
            <w:shd w:val="clear" w:color="auto" w:fill="auto"/>
            <w:vAlign w:val="center"/>
          </w:tcPr>
          <w:p w:rsidR="001E39C4" w:rsidRPr="000C472B" w:rsidRDefault="001E39C4"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1E39C4" w:rsidRPr="00572F25" w:rsidRDefault="001E39C4" w:rsidP="00F56900">
            <w:pPr>
              <w:jc w:val="center"/>
              <w:rPr>
                <w:rFonts w:ascii="Arial" w:hAnsi="Arial" w:cs="Arial"/>
                <w:sz w:val="16"/>
                <w:szCs w:val="16"/>
              </w:rPr>
            </w:pPr>
            <w:r>
              <w:rPr>
                <w:rFonts w:ascii="Arial" w:hAnsi="Arial" w:cs="Arial"/>
                <w:sz w:val="16"/>
                <w:szCs w:val="16"/>
              </w:rPr>
              <w:t>-</w:t>
            </w:r>
          </w:p>
        </w:tc>
      </w:tr>
      <w:tr w:rsidR="001E39C4" w:rsidRPr="00B03C00" w:rsidTr="00F56900">
        <w:trPr>
          <w:trHeight w:val="155"/>
        </w:trPr>
        <w:tc>
          <w:tcPr>
            <w:tcW w:w="2403" w:type="dxa"/>
            <w:gridSpan w:val="3"/>
            <w:shd w:val="clear" w:color="auto" w:fill="auto"/>
            <w:vAlign w:val="center"/>
          </w:tcPr>
          <w:p w:rsidR="001E39C4" w:rsidRPr="00A6460C" w:rsidRDefault="001E39C4" w:rsidP="00F56900">
            <w:pPr>
              <w:rPr>
                <w:rFonts w:ascii="Arial" w:hAnsi="Arial" w:cs="Arial"/>
                <w:b/>
                <w:bCs/>
                <w:sz w:val="16"/>
                <w:szCs w:val="16"/>
              </w:rPr>
            </w:pPr>
            <w:r>
              <w:rPr>
                <w:rFonts w:ascii="Arial" w:hAnsi="Arial" w:cs="Arial"/>
                <w:sz w:val="16"/>
                <w:szCs w:val="16"/>
                <w:lang w:val="en-GB"/>
              </w:rPr>
              <w:t>Tutorial attendance</w:t>
            </w:r>
          </w:p>
        </w:tc>
        <w:tc>
          <w:tcPr>
            <w:tcW w:w="1132" w:type="dxa"/>
            <w:shd w:val="clear" w:color="auto" w:fill="auto"/>
            <w:vAlign w:val="center"/>
          </w:tcPr>
          <w:p w:rsidR="001E39C4" w:rsidRDefault="001E39C4" w:rsidP="00F56900">
            <w:pPr>
              <w:jc w:val="center"/>
              <w:rPr>
                <w:rFonts w:ascii="Arial" w:hAnsi="Arial" w:cs="Arial"/>
                <w:b/>
                <w:bCs/>
                <w:sz w:val="16"/>
                <w:szCs w:val="16"/>
              </w:rPr>
            </w:pPr>
            <w:r w:rsidRPr="00B03C00">
              <w:rPr>
                <w:rFonts w:ascii="Arial" w:hAnsi="Arial" w:cs="Arial"/>
                <w:sz w:val="16"/>
                <w:szCs w:val="16"/>
                <w:lang w:val="en-GB"/>
              </w:rPr>
              <w:t>Yes/No</w:t>
            </w:r>
          </w:p>
        </w:tc>
        <w:tc>
          <w:tcPr>
            <w:tcW w:w="1294" w:type="dxa"/>
            <w:gridSpan w:val="2"/>
            <w:shd w:val="clear" w:color="auto" w:fill="auto"/>
            <w:vAlign w:val="center"/>
          </w:tcPr>
          <w:p w:rsidR="001E39C4" w:rsidRPr="00BD3DBD" w:rsidRDefault="001E39C4" w:rsidP="00F56900">
            <w:pPr>
              <w:jc w:val="center"/>
              <w:rPr>
                <w:rFonts w:ascii="Arial" w:hAnsi="Arial" w:cs="Arial"/>
                <w:b/>
                <w:bCs/>
                <w:sz w:val="16"/>
                <w:szCs w:val="16"/>
              </w:rPr>
            </w:pPr>
            <w:r>
              <w:rPr>
                <w:rFonts w:ascii="Arial" w:hAnsi="Arial" w:cs="Arial"/>
                <w:b/>
                <w:bCs/>
                <w:sz w:val="16"/>
                <w:szCs w:val="16"/>
              </w:rPr>
              <w:t>5</w:t>
            </w:r>
          </w:p>
        </w:tc>
        <w:tc>
          <w:tcPr>
            <w:tcW w:w="2513" w:type="dxa"/>
            <w:gridSpan w:val="2"/>
            <w:shd w:val="clear" w:color="auto" w:fill="auto"/>
            <w:vAlign w:val="center"/>
          </w:tcPr>
          <w:p w:rsidR="001E39C4" w:rsidRPr="000C472B" w:rsidRDefault="001E39C4"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1E39C4" w:rsidRPr="00572F25" w:rsidRDefault="001E39C4" w:rsidP="00F56900">
            <w:pPr>
              <w:jc w:val="center"/>
              <w:rPr>
                <w:rFonts w:ascii="Arial" w:hAnsi="Arial" w:cs="Arial"/>
                <w:b/>
                <w:iCs/>
                <w:sz w:val="16"/>
                <w:szCs w:val="16"/>
              </w:rPr>
            </w:pPr>
            <w:r>
              <w:rPr>
                <w:rFonts w:ascii="Arial" w:hAnsi="Arial" w:cs="Arial"/>
                <w:b/>
                <w:iCs/>
                <w:sz w:val="16"/>
                <w:szCs w:val="16"/>
              </w:rPr>
              <w:t>45</w:t>
            </w:r>
          </w:p>
        </w:tc>
      </w:tr>
      <w:tr w:rsidR="001E39C4" w:rsidRPr="00B03C00" w:rsidTr="00F56900">
        <w:trPr>
          <w:trHeight w:val="82"/>
        </w:trPr>
        <w:tc>
          <w:tcPr>
            <w:tcW w:w="2403" w:type="dxa"/>
            <w:gridSpan w:val="3"/>
            <w:tcBorders>
              <w:bottom w:val="single" w:sz="4" w:space="0" w:color="auto"/>
            </w:tcBorders>
            <w:shd w:val="clear" w:color="auto" w:fill="auto"/>
            <w:vAlign w:val="center"/>
          </w:tcPr>
          <w:p w:rsidR="001E39C4" w:rsidRPr="00B03C00" w:rsidRDefault="001E39C4" w:rsidP="00F56900">
            <w:pPr>
              <w:rPr>
                <w:rFonts w:ascii="Arial" w:hAnsi="Arial" w:cs="Arial"/>
                <w:sz w:val="16"/>
                <w:szCs w:val="16"/>
                <w:lang w:val="en-GB"/>
              </w:rPr>
            </w:pPr>
            <w:r>
              <w:rPr>
                <w:rFonts w:ascii="Arial" w:hAnsi="Arial" w:cs="Arial"/>
                <w:sz w:val="16"/>
                <w:szCs w:val="16"/>
                <w:lang w:val="en-GB"/>
              </w:rPr>
              <w:t>Tests</w:t>
            </w:r>
          </w:p>
        </w:tc>
        <w:tc>
          <w:tcPr>
            <w:tcW w:w="1132" w:type="dxa"/>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1E39C4" w:rsidRPr="00BD3DBD" w:rsidRDefault="001E39C4" w:rsidP="00F56900">
            <w:pPr>
              <w:jc w:val="center"/>
              <w:rPr>
                <w:rFonts w:ascii="Arial" w:hAnsi="Arial" w:cs="Arial"/>
                <w:b/>
                <w:sz w:val="16"/>
                <w:szCs w:val="16"/>
                <w:lang w:val="en-GB"/>
              </w:rPr>
            </w:pPr>
            <w:r>
              <w:rPr>
                <w:rFonts w:ascii="Arial" w:hAnsi="Arial" w:cs="Arial"/>
                <w:b/>
                <w:sz w:val="16"/>
                <w:szCs w:val="16"/>
                <w:lang w:val="en-GB"/>
              </w:rPr>
              <w:t>30</w:t>
            </w:r>
          </w:p>
        </w:tc>
        <w:tc>
          <w:tcPr>
            <w:tcW w:w="2513"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r>
      <w:tr w:rsidR="001E39C4" w:rsidRPr="00B03C00" w:rsidTr="00F56900">
        <w:trPr>
          <w:trHeight w:val="82"/>
        </w:trPr>
        <w:tc>
          <w:tcPr>
            <w:tcW w:w="2403" w:type="dxa"/>
            <w:gridSpan w:val="3"/>
            <w:tcBorders>
              <w:bottom w:val="single" w:sz="4" w:space="0" w:color="auto"/>
            </w:tcBorders>
            <w:shd w:val="clear" w:color="auto" w:fill="auto"/>
            <w:vAlign w:val="center"/>
          </w:tcPr>
          <w:p w:rsidR="001E39C4" w:rsidRPr="00B03C00" w:rsidRDefault="001E39C4" w:rsidP="00F56900">
            <w:pPr>
              <w:rPr>
                <w:rFonts w:ascii="Arial" w:hAnsi="Arial" w:cs="Arial"/>
                <w:sz w:val="16"/>
                <w:szCs w:val="16"/>
                <w:lang w:val="en-GB"/>
              </w:rPr>
            </w:pPr>
            <w:r>
              <w:rPr>
                <w:rFonts w:ascii="Arial" w:hAnsi="Arial" w:cs="Arial"/>
                <w:sz w:val="16"/>
                <w:szCs w:val="16"/>
                <w:lang w:val="en-GB"/>
              </w:rPr>
              <w:t>Practical work</w:t>
            </w:r>
          </w:p>
        </w:tc>
        <w:tc>
          <w:tcPr>
            <w:tcW w:w="1132" w:type="dxa"/>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1E39C4" w:rsidRPr="00BD3DBD" w:rsidRDefault="001E39C4" w:rsidP="00F56900">
            <w:pPr>
              <w:jc w:val="center"/>
              <w:rPr>
                <w:rFonts w:ascii="Arial" w:hAnsi="Arial" w:cs="Arial"/>
                <w:b/>
                <w:sz w:val="16"/>
                <w:szCs w:val="16"/>
                <w:lang w:val="en-GB"/>
              </w:rPr>
            </w:pPr>
            <w:r w:rsidRPr="00BD3DBD">
              <w:rPr>
                <w:rFonts w:ascii="Arial" w:hAnsi="Arial" w:cs="Arial"/>
                <w:b/>
                <w:sz w:val="16"/>
                <w:szCs w:val="16"/>
                <w:lang w:val="en-GB"/>
              </w:rPr>
              <w:t>1</w:t>
            </w:r>
            <w:r>
              <w:rPr>
                <w:rFonts w:ascii="Arial" w:hAnsi="Arial" w:cs="Arial"/>
                <w:b/>
                <w:sz w:val="16"/>
                <w:szCs w:val="16"/>
                <w:lang w:val="en-GB"/>
              </w:rPr>
              <w:t>5</w:t>
            </w:r>
          </w:p>
        </w:tc>
        <w:tc>
          <w:tcPr>
            <w:tcW w:w="2513"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r>
      <w:tr w:rsidR="001E39C4" w:rsidRPr="00B03C00" w:rsidTr="00F56900">
        <w:trPr>
          <w:trHeight w:val="82"/>
        </w:trPr>
        <w:tc>
          <w:tcPr>
            <w:tcW w:w="2403" w:type="dxa"/>
            <w:gridSpan w:val="3"/>
            <w:tcBorders>
              <w:bottom w:val="single" w:sz="4" w:space="0" w:color="auto"/>
            </w:tcBorders>
            <w:shd w:val="clear" w:color="auto" w:fill="auto"/>
            <w:vAlign w:val="center"/>
          </w:tcPr>
          <w:p w:rsidR="001E39C4" w:rsidRPr="00B03C00" w:rsidRDefault="001E39C4" w:rsidP="00F56900">
            <w:pPr>
              <w:rPr>
                <w:rFonts w:ascii="Arial" w:hAnsi="Arial" w:cs="Arial"/>
                <w:sz w:val="16"/>
                <w:szCs w:val="16"/>
                <w:lang w:val="en-GB"/>
              </w:rPr>
            </w:pPr>
            <w:r>
              <w:rPr>
                <w:rFonts w:ascii="Arial" w:hAnsi="Arial" w:cs="Arial"/>
                <w:sz w:val="16"/>
                <w:szCs w:val="16"/>
                <w:lang w:val="en-GB"/>
              </w:rPr>
              <w:t>Other</w:t>
            </w:r>
          </w:p>
        </w:tc>
        <w:tc>
          <w:tcPr>
            <w:tcW w:w="1132" w:type="dxa"/>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c>
          <w:tcPr>
            <w:tcW w:w="2513"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1E39C4" w:rsidRPr="00B03C00" w:rsidRDefault="001E39C4" w:rsidP="00F56900">
            <w:pPr>
              <w:jc w:val="center"/>
              <w:rPr>
                <w:rFonts w:ascii="Arial" w:hAnsi="Arial" w:cs="Arial"/>
                <w:sz w:val="16"/>
                <w:szCs w:val="16"/>
                <w:lang w:val="en-GB"/>
              </w:rPr>
            </w:pPr>
          </w:p>
        </w:tc>
      </w:tr>
      <w:tr w:rsidR="001E39C4" w:rsidRPr="00B03C00" w:rsidTr="00F56900">
        <w:tc>
          <w:tcPr>
            <w:tcW w:w="9620" w:type="dxa"/>
            <w:gridSpan w:val="11"/>
            <w:shd w:val="clear" w:color="auto" w:fill="C2D69B" w:themeFill="accent3" w:themeFillTint="99"/>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1E39C4" w:rsidRPr="00B03C00" w:rsidTr="00F56900">
        <w:tc>
          <w:tcPr>
            <w:tcW w:w="711" w:type="dxa"/>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1E39C4" w:rsidRPr="00B03C00" w:rsidRDefault="001E39C4" w:rsidP="00F56900">
            <w:pPr>
              <w:jc w:val="center"/>
              <w:rPr>
                <w:rFonts w:ascii="Arial" w:hAnsi="Arial" w:cs="Arial"/>
                <w:sz w:val="16"/>
                <w:szCs w:val="16"/>
                <w:lang w:val="en-GB"/>
              </w:rPr>
            </w:pPr>
            <w:r w:rsidRPr="00B03C00">
              <w:rPr>
                <w:rFonts w:ascii="Arial" w:hAnsi="Arial" w:cs="Arial"/>
                <w:sz w:val="16"/>
                <w:szCs w:val="16"/>
                <w:lang w:val="en-GB"/>
              </w:rPr>
              <w:t>Year</w:t>
            </w:r>
          </w:p>
        </w:tc>
      </w:tr>
      <w:tr w:rsidR="001E39C4" w:rsidRPr="00B03C00" w:rsidTr="00F56900">
        <w:tc>
          <w:tcPr>
            <w:tcW w:w="711" w:type="dxa"/>
            <w:vAlign w:val="center"/>
          </w:tcPr>
          <w:p w:rsidR="001E39C4" w:rsidRPr="00D02E1F" w:rsidRDefault="001E39C4" w:rsidP="001E39C4">
            <w:pPr>
              <w:pStyle w:val="ListParagraph"/>
              <w:numPr>
                <w:ilvl w:val="0"/>
                <w:numId w:val="7"/>
              </w:numPr>
              <w:jc w:val="center"/>
              <w:rPr>
                <w:rFonts w:ascii="Arial" w:hAnsi="Arial" w:cs="Arial"/>
                <w:sz w:val="16"/>
                <w:szCs w:val="16"/>
              </w:rPr>
            </w:pPr>
          </w:p>
        </w:tc>
        <w:tc>
          <w:tcPr>
            <w:tcW w:w="1692" w:type="dxa"/>
            <w:gridSpan w:val="2"/>
            <w:vAlign w:val="center"/>
          </w:tcPr>
          <w:p w:rsidR="001E39C4" w:rsidRPr="007F6768" w:rsidRDefault="001E39C4" w:rsidP="00F56900">
            <w:pPr>
              <w:jc w:val="center"/>
              <w:rPr>
                <w:rFonts w:ascii="Arial" w:hAnsi="Arial" w:cs="Arial"/>
                <w:sz w:val="14"/>
                <w:szCs w:val="16"/>
              </w:rPr>
            </w:pPr>
            <w:r w:rsidRPr="007F6768">
              <w:rPr>
                <w:rFonts w:ascii="Arial" w:hAnsi="Arial" w:cs="Arial"/>
                <w:sz w:val="14"/>
                <w:szCs w:val="16"/>
              </w:rPr>
              <w:t xml:space="preserve">John A. </w:t>
            </w:r>
            <w:proofErr w:type="spellStart"/>
            <w:r w:rsidRPr="007F6768">
              <w:rPr>
                <w:rFonts w:ascii="Arial" w:hAnsi="Arial" w:cs="Arial"/>
                <w:sz w:val="14"/>
                <w:szCs w:val="16"/>
              </w:rPr>
              <w:t>Bissonette</w:t>
            </w:r>
            <w:proofErr w:type="spellEnd"/>
          </w:p>
        </w:tc>
        <w:tc>
          <w:tcPr>
            <w:tcW w:w="2426" w:type="dxa"/>
            <w:gridSpan w:val="3"/>
            <w:vAlign w:val="center"/>
          </w:tcPr>
          <w:p w:rsidR="001E39C4" w:rsidRPr="007F6768" w:rsidRDefault="001E39C4" w:rsidP="00F56900">
            <w:pPr>
              <w:jc w:val="center"/>
              <w:rPr>
                <w:rFonts w:ascii="Arial" w:hAnsi="Arial" w:cs="Arial"/>
                <w:sz w:val="14"/>
                <w:szCs w:val="16"/>
              </w:rPr>
            </w:pPr>
            <w:r w:rsidRPr="007F6768">
              <w:rPr>
                <w:rFonts w:ascii="Arial" w:hAnsi="Arial" w:cs="Arial"/>
                <w:sz w:val="14"/>
                <w:szCs w:val="16"/>
              </w:rPr>
              <w:t>Wildlife and Landscape Ecology: Effects of Pattern and Scale</w:t>
            </w:r>
          </w:p>
        </w:tc>
        <w:tc>
          <w:tcPr>
            <w:tcW w:w="3645" w:type="dxa"/>
            <w:gridSpan w:val="4"/>
            <w:vAlign w:val="center"/>
          </w:tcPr>
          <w:p w:rsidR="001E39C4" w:rsidRPr="007F6768" w:rsidRDefault="001E39C4" w:rsidP="00F56900">
            <w:pPr>
              <w:jc w:val="center"/>
              <w:rPr>
                <w:rFonts w:ascii="Arial" w:hAnsi="Arial" w:cs="Arial"/>
                <w:sz w:val="14"/>
                <w:szCs w:val="16"/>
              </w:rPr>
            </w:pPr>
            <w:r w:rsidRPr="007F6768">
              <w:rPr>
                <w:rFonts w:ascii="Arial" w:hAnsi="Arial" w:cs="Arial"/>
                <w:sz w:val="14"/>
                <w:szCs w:val="16"/>
              </w:rPr>
              <w:t>Springer Science &amp; Business Media,</w:t>
            </w:r>
          </w:p>
        </w:tc>
        <w:tc>
          <w:tcPr>
            <w:tcW w:w="1146" w:type="dxa"/>
            <w:vAlign w:val="center"/>
          </w:tcPr>
          <w:p w:rsidR="001E39C4" w:rsidRPr="007F6768" w:rsidRDefault="001E39C4" w:rsidP="00F56900">
            <w:pPr>
              <w:jc w:val="center"/>
              <w:rPr>
                <w:rFonts w:ascii="Arial" w:hAnsi="Arial" w:cs="Arial"/>
                <w:sz w:val="14"/>
                <w:szCs w:val="16"/>
              </w:rPr>
            </w:pPr>
            <w:r w:rsidRPr="007F6768">
              <w:rPr>
                <w:rFonts w:ascii="Arial" w:hAnsi="Arial" w:cs="Arial"/>
                <w:sz w:val="14"/>
                <w:szCs w:val="16"/>
              </w:rPr>
              <w:t>1997</w:t>
            </w:r>
          </w:p>
        </w:tc>
      </w:tr>
      <w:tr w:rsidR="001E39C4" w:rsidRPr="00B03C00" w:rsidTr="00F56900">
        <w:tc>
          <w:tcPr>
            <w:tcW w:w="711" w:type="dxa"/>
            <w:vAlign w:val="center"/>
          </w:tcPr>
          <w:p w:rsidR="001E39C4" w:rsidRPr="00D02E1F" w:rsidRDefault="001E39C4" w:rsidP="001E39C4">
            <w:pPr>
              <w:pStyle w:val="ListParagraph"/>
              <w:numPr>
                <w:ilvl w:val="0"/>
                <w:numId w:val="7"/>
              </w:numPr>
              <w:jc w:val="center"/>
              <w:rPr>
                <w:rFonts w:ascii="Arial" w:hAnsi="Arial" w:cs="Arial"/>
                <w:sz w:val="16"/>
                <w:szCs w:val="16"/>
              </w:rPr>
            </w:pPr>
          </w:p>
        </w:tc>
        <w:tc>
          <w:tcPr>
            <w:tcW w:w="1692" w:type="dxa"/>
            <w:gridSpan w:val="2"/>
            <w:vAlign w:val="center"/>
          </w:tcPr>
          <w:p w:rsidR="001E39C4" w:rsidRPr="007F6768" w:rsidRDefault="001E39C4" w:rsidP="00F56900">
            <w:pPr>
              <w:jc w:val="center"/>
              <w:rPr>
                <w:rFonts w:ascii="Arial" w:hAnsi="Arial" w:cs="Arial"/>
                <w:sz w:val="14"/>
                <w:szCs w:val="16"/>
              </w:rPr>
            </w:pPr>
            <w:r w:rsidRPr="007F6768">
              <w:rPr>
                <w:rFonts w:ascii="Arial" w:hAnsi="Arial" w:cs="Arial"/>
                <w:sz w:val="14"/>
                <w:szCs w:val="16"/>
              </w:rPr>
              <w:t xml:space="preserve">Rory Putman, Marco </w:t>
            </w:r>
            <w:proofErr w:type="spellStart"/>
            <w:r w:rsidRPr="007F6768">
              <w:rPr>
                <w:rFonts w:ascii="Arial" w:hAnsi="Arial" w:cs="Arial"/>
                <w:sz w:val="14"/>
                <w:szCs w:val="16"/>
              </w:rPr>
              <w:t>Apollonio</w:t>
            </w:r>
            <w:proofErr w:type="spellEnd"/>
            <w:r w:rsidRPr="007F6768">
              <w:rPr>
                <w:rFonts w:ascii="Arial" w:hAnsi="Arial" w:cs="Arial"/>
                <w:sz w:val="14"/>
                <w:szCs w:val="16"/>
              </w:rPr>
              <w:t xml:space="preserve">, </w:t>
            </w:r>
            <w:proofErr w:type="spellStart"/>
            <w:r w:rsidRPr="007F6768">
              <w:rPr>
                <w:rFonts w:ascii="Arial" w:hAnsi="Arial" w:cs="Arial"/>
                <w:sz w:val="14"/>
                <w:szCs w:val="16"/>
              </w:rPr>
              <w:t>Reidar</w:t>
            </w:r>
            <w:proofErr w:type="spellEnd"/>
            <w:r w:rsidRPr="007F6768">
              <w:rPr>
                <w:rFonts w:ascii="Arial" w:hAnsi="Arial" w:cs="Arial"/>
                <w:sz w:val="14"/>
                <w:szCs w:val="16"/>
              </w:rPr>
              <w:t xml:space="preserve"> Andersen</w:t>
            </w:r>
          </w:p>
        </w:tc>
        <w:tc>
          <w:tcPr>
            <w:tcW w:w="2426" w:type="dxa"/>
            <w:gridSpan w:val="3"/>
            <w:vAlign w:val="center"/>
          </w:tcPr>
          <w:p w:rsidR="001E39C4" w:rsidRPr="007F6768" w:rsidRDefault="001E39C4" w:rsidP="00F56900">
            <w:pPr>
              <w:jc w:val="center"/>
              <w:rPr>
                <w:rFonts w:ascii="Arial" w:hAnsi="Arial" w:cs="Arial"/>
                <w:sz w:val="14"/>
                <w:szCs w:val="16"/>
              </w:rPr>
            </w:pPr>
            <w:r w:rsidRPr="007F6768">
              <w:rPr>
                <w:rFonts w:ascii="Arial" w:hAnsi="Arial" w:cs="Arial"/>
                <w:sz w:val="14"/>
                <w:szCs w:val="16"/>
              </w:rPr>
              <w:t>European Ungulates and Their Management in the 21st Century</w:t>
            </w:r>
          </w:p>
        </w:tc>
        <w:tc>
          <w:tcPr>
            <w:tcW w:w="3645" w:type="dxa"/>
            <w:gridSpan w:val="4"/>
            <w:vAlign w:val="center"/>
          </w:tcPr>
          <w:p w:rsidR="001E39C4" w:rsidRPr="007F6768" w:rsidRDefault="001E39C4" w:rsidP="00F56900">
            <w:pPr>
              <w:jc w:val="center"/>
              <w:rPr>
                <w:rFonts w:ascii="Arial" w:hAnsi="Arial" w:cs="Arial"/>
                <w:sz w:val="14"/>
                <w:szCs w:val="16"/>
              </w:rPr>
            </w:pPr>
            <w:r w:rsidRPr="007F6768">
              <w:rPr>
                <w:rFonts w:ascii="Arial" w:hAnsi="Arial" w:cs="Arial"/>
                <w:sz w:val="14"/>
                <w:szCs w:val="16"/>
              </w:rPr>
              <w:t>Cambridge University Press</w:t>
            </w:r>
          </w:p>
        </w:tc>
        <w:tc>
          <w:tcPr>
            <w:tcW w:w="1146" w:type="dxa"/>
            <w:vAlign w:val="center"/>
          </w:tcPr>
          <w:p w:rsidR="001E39C4" w:rsidRPr="007F6768" w:rsidRDefault="001E39C4" w:rsidP="00F56900">
            <w:pPr>
              <w:jc w:val="center"/>
              <w:rPr>
                <w:rFonts w:ascii="Arial" w:hAnsi="Arial" w:cs="Arial"/>
                <w:sz w:val="14"/>
                <w:szCs w:val="16"/>
              </w:rPr>
            </w:pPr>
            <w:r w:rsidRPr="007F6768">
              <w:rPr>
                <w:rFonts w:ascii="Arial" w:hAnsi="Arial" w:cs="Arial"/>
                <w:sz w:val="14"/>
                <w:szCs w:val="16"/>
              </w:rPr>
              <w:t>2011</w:t>
            </w:r>
          </w:p>
        </w:tc>
      </w:tr>
      <w:tr w:rsidR="001E39C4" w:rsidRPr="00B03C00" w:rsidTr="00F56900">
        <w:tc>
          <w:tcPr>
            <w:tcW w:w="711" w:type="dxa"/>
            <w:vAlign w:val="center"/>
          </w:tcPr>
          <w:p w:rsidR="001E39C4" w:rsidRDefault="001E39C4" w:rsidP="00F56900">
            <w:pPr>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1E39C4" w:rsidRPr="007F6768" w:rsidRDefault="001E39C4" w:rsidP="00F56900">
            <w:pPr>
              <w:jc w:val="center"/>
              <w:rPr>
                <w:rFonts w:ascii="Arial" w:hAnsi="Arial" w:cs="Arial"/>
                <w:sz w:val="14"/>
                <w:szCs w:val="16"/>
                <w:lang w:val="en-GB"/>
              </w:rPr>
            </w:pPr>
            <w:proofErr w:type="spellStart"/>
            <w:r w:rsidRPr="007F6768">
              <w:rPr>
                <w:rFonts w:ascii="Arial" w:hAnsi="Arial" w:cs="Arial"/>
                <w:sz w:val="14"/>
                <w:szCs w:val="16"/>
                <w:lang w:val="en-GB"/>
              </w:rPr>
              <w:t>Gajić</w:t>
            </w:r>
            <w:proofErr w:type="spellEnd"/>
            <w:r w:rsidRPr="007F6768">
              <w:rPr>
                <w:rFonts w:ascii="Arial" w:hAnsi="Arial" w:cs="Arial"/>
                <w:sz w:val="14"/>
                <w:szCs w:val="16"/>
                <w:lang w:val="en-GB"/>
              </w:rPr>
              <w:t xml:space="preserve"> I., </w:t>
            </w:r>
            <w:proofErr w:type="spellStart"/>
            <w:r w:rsidRPr="007F6768">
              <w:rPr>
                <w:rFonts w:ascii="Arial" w:hAnsi="Arial" w:cs="Arial"/>
                <w:sz w:val="14"/>
                <w:szCs w:val="16"/>
                <w:lang w:val="en-GB"/>
              </w:rPr>
              <w:t>Popović</w:t>
            </w:r>
            <w:proofErr w:type="spellEnd"/>
            <w:r w:rsidRPr="007F6768">
              <w:rPr>
                <w:rFonts w:ascii="Arial" w:hAnsi="Arial" w:cs="Arial"/>
                <w:sz w:val="14"/>
                <w:szCs w:val="16"/>
                <w:lang w:val="en-GB"/>
              </w:rPr>
              <w:t xml:space="preserve"> Z.</w:t>
            </w:r>
          </w:p>
        </w:tc>
        <w:tc>
          <w:tcPr>
            <w:tcW w:w="2426" w:type="dxa"/>
            <w:gridSpan w:val="3"/>
            <w:vAlign w:val="center"/>
          </w:tcPr>
          <w:p w:rsidR="001E39C4" w:rsidRPr="007F6768" w:rsidRDefault="001E39C4" w:rsidP="00F56900">
            <w:pPr>
              <w:jc w:val="center"/>
              <w:rPr>
                <w:rFonts w:ascii="Arial" w:hAnsi="Arial" w:cs="Arial"/>
                <w:sz w:val="14"/>
                <w:szCs w:val="16"/>
                <w:lang w:val="en-GB"/>
              </w:rPr>
            </w:pPr>
            <w:proofErr w:type="spellStart"/>
            <w:r w:rsidRPr="007F6768">
              <w:rPr>
                <w:rFonts w:ascii="Arial" w:hAnsi="Arial" w:cs="Arial"/>
                <w:sz w:val="14"/>
                <w:szCs w:val="16"/>
                <w:lang w:val="en-GB"/>
              </w:rPr>
              <w:t>Lovna</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privreda</w:t>
            </w:r>
            <w:proofErr w:type="spellEnd"/>
          </w:p>
        </w:tc>
        <w:tc>
          <w:tcPr>
            <w:tcW w:w="3645" w:type="dxa"/>
            <w:gridSpan w:val="4"/>
            <w:vAlign w:val="center"/>
          </w:tcPr>
          <w:p w:rsidR="001E39C4" w:rsidRPr="007F6768" w:rsidRDefault="001E39C4" w:rsidP="00F56900">
            <w:pPr>
              <w:jc w:val="center"/>
              <w:rPr>
                <w:rFonts w:ascii="Arial" w:hAnsi="Arial" w:cs="Arial"/>
                <w:sz w:val="14"/>
                <w:szCs w:val="16"/>
                <w:lang w:val="en-GB"/>
              </w:rPr>
            </w:pPr>
            <w:proofErr w:type="spellStart"/>
            <w:r w:rsidRPr="007F6768">
              <w:rPr>
                <w:rFonts w:ascii="Arial" w:hAnsi="Arial" w:cs="Arial"/>
                <w:sz w:val="14"/>
                <w:szCs w:val="16"/>
                <w:lang w:val="en-GB"/>
              </w:rPr>
              <w:t>Poljoprivredni</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fakultet</w:t>
            </w:r>
            <w:proofErr w:type="spellEnd"/>
            <w:r w:rsidRPr="007F6768">
              <w:rPr>
                <w:rFonts w:ascii="Arial" w:hAnsi="Arial" w:cs="Arial"/>
                <w:sz w:val="14"/>
                <w:szCs w:val="16"/>
                <w:lang w:val="en-GB"/>
              </w:rPr>
              <w:t>, Beograd</w:t>
            </w:r>
          </w:p>
        </w:tc>
        <w:tc>
          <w:tcPr>
            <w:tcW w:w="1146" w:type="dxa"/>
            <w:vAlign w:val="center"/>
          </w:tcPr>
          <w:p w:rsidR="001E39C4" w:rsidRPr="007F6768" w:rsidRDefault="001E39C4" w:rsidP="00F56900">
            <w:pPr>
              <w:jc w:val="center"/>
              <w:rPr>
                <w:rFonts w:ascii="Arial" w:hAnsi="Arial" w:cs="Arial"/>
                <w:sz w:val="14"/>
                <w:szCs w:val="16"/>
                <w:lang w:val="en-GB"/>
              </w:rPr>
            </w:pPr>
            <w:r w:rsidRPr="007F6768">
              <w:rPr>
                <w:rFonts w:ascii="Arial" w:hAnsi="Arial" w:cs="Arial"/>
                <w:sz w:val="14"/>
                <w:szCs w:val="16"/>
                <w:lang w:val="en-GB"/>
              </w:rPr>
              <w:t>2010</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1E39C4"/>
    <w:rsid w:val="001F3F5D"/>
    <w:rsid w:val="00461E71"/>
    <w:rsid w:val="004C0AD7"/>
    <w:rsid w:val="004E744F"/>
    <w:rsid w:val="007D508E"/>
    <w:rsid w:val="007E2923"/>
    <w:rsid w:val="00894D58"/>
    <w:rsid w:val="00945FD2"/>
    <w:rsid w:val="00A501B6"/>
    <w:rsid w:val="00A951BA"/>
    <w:rsid w:val="00B62D45"/>
    <w:rsid w:val="00BB431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2015-01-22T07:51:00Z</dcterms:created>
  <dcterms:modified xsi:type="dcterms:W3CDTF">2015-01-22T07:51:00Z</dcterms:modified>
</cp:coreProperties>
</file>