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701"/>
        <w:gridCol w:w="851"/>
        <w:gridCol w:w="992"/>
        <w:gridCol w:w="142"/>
        <w:gridCol w:w="142"/>
        <w:gridCol w:w="1559"/>
        <w:gridCol w:w="1134"/>
        <w:gridCol w:w="725"/>
      </w:tblGrid>
      <w:tr w:rsidR="003B1E99" w:rsidRPr="00967EC1" w:rsidTr="00280DBA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3B1E99" w:rsidRPr="00967EC1" w:rsidRDefault="003B1E99" w:rsidP="003B1E9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i/>
                <w:sz w:val="18"/>
                <w:szCs w:val="18"/>
                <w:lang w:val="en-GB"/>
              </w:rPr>
              <w:t>Forest</w:t>
            </w:r>
            <w:r w:rsidRPr="00967EC1">
              <w:rPr>
                <w:rFonts w:cstheme="minorHAnsi"/>
                <w:b/>
                <w:bCs/>
                <w:i/>
                <w:sz w:val="18"/>
                <w:szCs w:val="18"/>
                <w:lang w:val="en-GB"/>
              </w:rPr>
              <w:t xml:space="preserve"> fruit</w:t>
            </w:r>
            <w:r>
              <w:rPr>
                <w:rFonts w:cstheme="minorHAnsi"/>
                <w:b/>
                <w:bCs/>
                <w:i/>
                <w:sz w:val="18"/>
                <w:szCs w:val="18"/>
                <w:lang w:val="en-GB"/>
              </w:rPr>
              <w:t xml:space="preserve"> species</w:t>
            </w:r>
          </w:p>
        </w:tc>
      </w:tr>
      <w:tr w:rsidR="003B1E99" w:rsidRPr="00967EC1" w:rsidTr="00280DBA">
        <w:tc>
          <w:tcPr>
            <w:tcW w:w="2092" w:type="dxa"/>
            <w:gridSpan w:val="2"/>
            <w:vAlign w:val="center"/>
          </w:tcPr>
          <w:p w:rsidR="003B1E99" w:rsidRPr="00967EC1" w:rsidRDefault="003B1E99" w:rsidP="003B1E9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Course id: 2</w:t>
            </w:r>
            <w:r>
              <w:rPr>
                <w:rFonts w:cstheme="minorHAnsi"/>
                <w:sz w:val="16"/>
                <w:szCs w:val="16"/>
                <w:lang w:val="en-GB"/>
              </w:rPr>
              <w:t>MRR</w:t>
            </w:r>
            <w:r w:rsidRPr="00967EC1">
              <w:rPr>
                <w:rFonts w:cstheme="minorHAnsi"/>
                <w:sz w:val="16"/>
                <w:szCs w:val="16"/>
                <w:lang w:val="en-GB"/>
              </w:rPr>
              <w:t>2</w:t>
            </w:r>
            <w:r>
              <w:rPr>
                <w:rFonts w:cstheme="minorHAnsi"/>
                <w:sz w:val="16"/>
                <w:szCs w:val="16"/>
                <w:lang w:val="en-GB"/>
              </w:rPr>
              <w:t>I</w:t>
            </w:r>
            <w:r w:rsidRPr="00967EC1">
              <w:rPr>
                <w:rFonts w:cstheme="minorHAnsi"/>
                <w:sz w:val="16"/>
                <w:szCs w:val="16"/>
                <w:lang w:val="en-GB"/>
              </w:rPr>
              <w:t>35</w:t>
            </w:r>
          </w:p>
        </w:tc>
        <w:tc>
          <w:tcPr>
            <w:tcW w:w="7530" w:type="dxa"/>
            <w:gridSpan w:val="9"/>
            <w:vMerge/>
          </w:tcPr>
          <w:p w:rsidR="003B1E99" w:rsidRPr="00967EC1" w:rsidRDefault="003B1E99" w:rsidP="003B1E99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3B1E99" w:rsidRPr="00967EC1" w:rsidTr="00280DBA">
        <w:tc>
          <w:tcPr>
            <w:tcW w:w="2092" w:type="dxa"/>
            <w:gridSpan w:val="2"/>
            <w:vAlign w:val="center"/>
          </w:tcPr>
          <w:p w:rsidR="003B1E99" w:rsidRPr="00967EC1" w:rsidRDefault="003B1E99" w:rsidP="003B1E9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 xml:space="preserve">Number of ECTS: 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7530" w:type="dxa"/>
            <w:gridSpan w:val="9"/>
            <w:vMerge/>
          </w:tcPr>
          <w:p w:rsidR="003B1E99" w:rsidRPr="00967EC1" w:rsidRDefault="003B1E99" w:rsidP="003B1E99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3B1E99" w:rsidRPr="00967EC1" w:rsidTr="00280DBA">
        <w:tc>
          <w:tcPr>
            <w:tcW w:w="2092" w:type="dxa"/>
            <w:gridSpan w:val="2"/>
            <w:vAlign w:val="center"/>
          </w:tcPr>
          <w:p w:rsidR="003B1E99" w:rsidRPr="00967EC1" w:rsidRDefault="003B1E99" w:rsidP="003B1E9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530" w:type="dxa"/>
            <w:gridSpan w:val="9"/>
          </w:tcPr>
          <w:p w:rsidR="003B1E99" w:rsidRPr="00967EC1" w:rsidRDefault="003B1E99" w:rsidP="00823204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967EC1">
              <w:rPr>
                <w:rFonts w:cstheme="minorHAnsi"/>
                <w:sz w:val="18"/>
                <w:lang w:val="en-GB"/>
              </w:rPr>
              <w:t>Branislava Gološin; Sandra Bijelić</w:t>
            </w:r>
          </w:p>
        </w:tc>
      </w:tr>
      <w:tr w:rsidR="003B1E99" w:rsidRPr="00967EC1" w:rsidTr="00280DBA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3B1E99" w:rsidRPr="00967EC1" w:rsidRDefault="003B1E99" w:rsidP="003B1E9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3B1E99" w:rsidRPr="00967EC1" w:rsidRDefault="003B1E99" w:rsidP="003B1E9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>Elective</w:t>
            </w:r>
          </w:p>
        </w:tc>
      </w:tr>
      <w:tr w:rsidR="003B1E99" w:rsidRPr="00967EC1" w:rsidTr="00280DBA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B1E99" w:rsidRPr="00967EC1" w:rsidRDefault="003B1E99" w:rsidP="003B1E9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3B1E99" w:rsidRPr="00967EC1" w:rsidTr="00280DBA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Lectures:2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Tutorials :2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Other classes:</w:t>
            </w:r>
          </w:p>
        </w:tc>
      </w:tr>
      <w:tr w:rsidR="003B1E99" w:rsidRPr="00967EC1" w:rsidTr="00280DBA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3B1E99" w:rsidRPr="00967EC1" w:rsidRDefault="003B1E99" w:rsidP="003B1E9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67EC1">
              <w:rPr>
                <w:rFonts w:cstheme="minorHAnsi"/>
                <w:sz w:val="20"/>
                <w:szCs w:val="20"/>
                <w:lang w:val="en-GB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3B1E99" w:rsidRPr="00967EC1" w:rsidRDefault="003B1E99" w:rsidP="003B1E9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3B1E99" w:rsidRPr="00967EC1" w:rsidTr="00280DBA">
        <w:tc>
          <w:tcPr>
            <w:tcW w:w="9622" w:type="dxa"/>
            <w:gridSpan w:val="11"/>
          </w:tcPr>
          <w:p w:rsidR="003B1E99" w:rsidRPr="00967EC1" w:rsidRDefault="003B1E99" w:rsidP="003B1E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>Educational goal</w:t>
            </w:r>
          </w:p>
          <w:p w:rsidR="003B1E99" w:rsidRPr="00967EC1" w:rsidRDefault="003B1E99" w:rsidP="003B1E99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>cqui</w:t>
            </w:r>
            <w:r>
              <w:rPr>
                <w:rFonts w:cstheme="minorHAnsi"/>
                <w:sz w:val="18"/>
                <w:szCs w:val="18"/>
                <w:lang w:val="en-GB"/>
              </w:rPr>
              <w:t>ring the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 basic scientific and academic knowledge about biology, ecology and physiology of </w:t>
            </w:r>
            <w:r>
              <w:rPr>
                <w:rFonts w:cstheme="minorHAnsi"/>
                <w:sz w:val="18"/>
                <w:szCs w:val="18"/>
                <w:lang w:val="en-GB"/>
              </w:rPr>
              <w:t>forest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 fruit species in order to preserve biodiversity</w:t>
            </w:r>
            <w:r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</w:tr>
      <w:tr w:rsidR="003B1E99" w:rsidRPr="00967EC1" w:rsidTr="00280DBA">
        <w:tc>
          <w:tcPr>
            <w:tcW w:w="9622" w:type="dxa"/>
            <w:gridSpan w:val="11"/>
          </w:tcPr>
          <w:p w:rsidR="003B1E99" w:rsidRPr="00967EC1" w:rsidRDefault="003B1E99" w:rsidP="003B1E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Educational outcomes </w:t>
            </w:r>
          </w:p>
          <w:p w:rsidR="003B1E99" w:rsidRPr="00967EC1" w:rsidRDefault="003B1E99" w:rsidP="003B1E99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Student should be able to use their knowledge of forest fruit species,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and the knowledge about the use of their fruits and processed products for improvement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>of rural areas and agritourism</w:t>
            </w:r>
            <w:r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</w:tr>
      <w:tr w:rsidR="003B1E99" w:rsidRPr="00967EC1" w:rsidTr="00280DBA">
        <w:tc>
          <w:tcPr>
            <w:tcW w:w="9622" w:type="dxa"/>
            <w:gridSpan w:val="11"/>
          </w:tcPr>
          <w:p w:rsidR="003B1E99" w:rsidRPr="00967EC1" w:rsidRDefault="003B1E99" w:rsidP="003B1E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>Course content</w:t>
            </w:r>
          </w:p>
          <w:p w:rsidR="003B1E99" w:rsidRPr="00967EC1" w:rsidRDefault="003B1E99" w:rsidP="003B1E99">
            <w:pPr>
              <w:spacing w:after="0" w:line="240" w:lineRule="auto"/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i/>
                <w:sz w:val="18"/>
                <w:szCs w:val="18"/>
                <w:lang w:val="en-GB"/>
              </w:rPr>
              <w:t>Theoretical instruction</w:t>
            </w:r>
          </w:p>
          <w:p w:rsidR="003B1E99" w:rsidRDefault="003B1E99" w:rsidP="003B1E99">
            <w:pPr>
              <w:spacing w:after="0" w:line="240" w:lineRule="auto"/>
              <w:rPr>
                <w:rFonts w:cstheme="minorHAnsi"/>
                <w:iCs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>The importance of forest fruit species. Distribution of forest fruit species in plant communities of our country. Biology, ecology and p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hysiology of forest fruit species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: </w:t>
            </w:r>
            <w:r w:rsidRPr="00A72768">
              <w:rPr>
                <w:rFonts w:cstheme="minorHAnsi"/>
                <w:i/>
                <w:iCs/>
                <w:sz w:val="18"/>
                <w:szCs w:val="18"/>
                <w:lang w:val="en-GB"/>
              </w:rPr>
              <w:t>Malus, Pyrus, Sorbus, Crategus, Rosa, Prunus, Conus, Juglans, Corylus, Castanea, Fragaria, Rubus, Ribes, Vaccinium, Sambucus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>. The possibility of growing forest fruit species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 xml:space="preserve"> in environmentally friendly production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. Traditional products from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 xml:space="preserve">forest 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>fruit species (fruit teas, jams, juices, fruit salads, fruit wine, vinegar, etc.)</w:t>
            </w:r>
          </w:p>
          <w:p w:rsidR="003B1E99" w:rsidRPr="00A72768" w:rsidRDefault="003B1E99" w:rsidP="003B1E99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  <w:r w:rsidRPr="00A72768">
              <w:rPr>
                <w:rFonts w:cstheme="minorHAnsi"/>
                <w:i/>
                <w:iCs/>
                <w:sz w:val="18"/>
                <w:szCs w:val="18"/>
                <w:lang w:val="en-GB"/>
              </w:rPr>
              <w:t>Practical instruction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: </w:t>
            </w:r>
          </w:p>
          <w:p w:rsidR="003B1E99" w:rsidRPr="00967EC1" w:rsidRDefault="003B1E99" w:rsidP="003B1E99">
            <w:pPr>
              <w:spacing w:after="0" w:line="240" w:lineRule="auto"/>
              <w:rPr>
                <w:rFonts w:cstheme="minorHAnsi"/>
                <w:iCs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>The m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orphology of forest fruit species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: </w:t>
            </w:r>
            <w:r w:rsidRPr="00A72768">
              <w:rPr>
                <w:rFonts w:cstheme="minorHAnsi"/>
                <w:i/>
                <w:iCs/>
                <w:sz w:val="18"/>
                <w:szCs w:val="18"/>
                <w:lang w:val="en-GB"/>
              </w:rPr>
              <w:t>Malus, Pyrus, Sorbus, Crategus, Rosa, Prunus, Conus, Juglans, Corylus, Castanea, Fragaria, Rubus, Ribes, Vaccinium, Sambucus.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 Recogni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sing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 forest fruit species in natural populations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.</w:t>
            </w:r>
          </w:p>
        </w:tc>
      </w:tr>
      <w:tr w:rsidR="003B1E99" w:rsidRPr="00967EC1" w:rsidTr="00280DBA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3B1E99" w:rsidRPr="00967EC1" w:rsidRDefault="003B1E99" w:rsidP="003B1E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>Teaching methods</w:t>
            </w:r>
          </w:p>
          <w:p w:rsidR="003B1E99" w:rsidRPr="00967EC1" w:rsidRDefault="003B1E99" w:rsidP="003B1E99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Lectures </w:t>
            </w:r>
            <w:r>
              <w:rPr>
                <w:rFonts w:cstheme="minorHAnsi"/>
                <w:sz w:val="18"/>
                <w:szCs w:val="18"/>
                <w:lang w:val="en-GB"/>
              </w:rPr>
              <w:t>using modern equipment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. The theoretical part of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instruction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is conducted in university lecture halls. All lectures are computer processed and presented. The exercises are performed in the laboratory and at the </w:t>
            </w:r>
            <w:r>
              <w:rPr>
                <w:rFonts w:cstheme="minorHAnsi"/>
                <w:sz w:val="18"/>
                <w:szCs w:val="18"/>
                <w:lang w:val="en-GB"/>
              </w:rPr>
              <w:t>E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xperimental </w:t>
            </w:r>
            <w:r>
              <w:rPr>
                <w:rFonts w:cstheme="minorHAnsi"/>
                <w:sz w:val="18"/>
                <w:szCs w:val="18"/>
                <w:lang w:val="en-GB"/>
              </w:rPr>
              <w:t>S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tation of the Faculty of Agriculture in Novi Sad.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Students also have one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>field exercise.</w:t>
            </w:r>
          </w:p>
        </w:tc>
      </w:tr>
      <w:tr w:rsidR="003B1E99" w:rsidRPr="00967EC1" w:rsidTr="00280DBA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3B1E99" w:rsidRPr="00967EC1" w:rsidTr="003B1E9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99" w:rsidRPr="00967EC1" w:rsidRDefault="003B1E99" w:rsidP="003B1E9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 xml:space="preserve">Final exam 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Points</w:t>
            </w:r>
          </w:p>
        </w:tc>
      </w:tr>
      <w:tr w:rsidR="003B1E99" w:rsidRPr="00967EC1" w:rsidTr="003B1E9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99" w:rsidRPr="00967EC1" w:rsidRDefault="003B1E99" w:rsidP="003B1E99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sz w:val="18"/>
                <w:szCs w:val="18"/>
                <w:lang w:val="en-GB"/>
              </w:rPr>
              <w:t>Lecture</w:t>
            </w:r>
            <w:r>
              <w:rPr>
                <w:sz w:val="18"/>
                <w:szCs w:val="18"/>
                <w:lang w:val="en-GB"/>
              </w:rPr>
              <w:t xml:space="preserve"> attendance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i/>
                <w:sz w:val="14"/>
                <w:szCs w:val="14"/>
                <w:lang w:val="en-GB"/>
              </w:rPr>
            </w:pPr>
            <w:r w:rsidRPr="00967EC1">
              <w:rPr>
                <w:rFonts w:cstheme="minorHAnsi"/>
                <w:i/>
                <w:sz w:val="14"/>
                <w:szCs w:val="14"/>
                <w:lang w:val="en-GB"/>
              </w:rPr>
              <w:t>Oral exam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  <w:r w:rsidRPr="00967EC1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</w:tr>
      <w:tr w:rsidR="003B1E99" w:rsidRPr="00967EC1" w:rsidTr="003B1E9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99" w:rsidRPr="00967EC1" w:rsidRDefault="003B1E99" w:rsidP="003B1E99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Practical work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10</w:t>
            </w:r>
          </w:p>
        </w:tc>
        <w:tc>
          <w:tcPr>
            <w:tcW w:w="46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3B1E99" w:rsidRPr="00967EC1" w:rsidTr="003B1E9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99" w:rsidRPr="00967EC1" w:rsidRDefault="003B1E99" w:rsidP="003B1E99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Tests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  <w:r w:rsidRPr="00967EC1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46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3B1E99" w:rsidRPr="00967EC1" w:rsidTr="003B1E9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99" w:rsidRPr="00967EC1" w:rsidRDefault="003B1E99" w:rsidP="003B1E9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Seminar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>paper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  <w:r w:rsidRPr="00967EC1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46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3B1E99" w:rsidRPr="00967EC1" w:rsidTr="00280DBA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3B1E99" w:rsidRPr="00967EC1" w:rsidTr="00280DBA">
        <w:tc>
          <w:tcPr>
            <w:tcW w:w="675" w:type="dxa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3686" w:type="dxa"/>
            <w:gridSpan w:val="4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2835" w:type="dxa"/>
            <w:gridSpan w:val="3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725" w:type="dxa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Year</w:t>
            </w:r>
          </w:p>
        </w:tc>
      </w:tr>
      <w:tr w:rsidR="003B1E99" w:rsidRPr="00967EC1" w:rsidTr="00280DBA">
        <w:tc>
          <w:tcPr>
            <w:tcW w:w="675" w:type="dxa"/>
            <w:vAlign w:val="center"/>
          </w:tcPr>
          <w:p w:rsidR="003B1E99" w:rsidRPr="00967EC1" w:rsidRDefault="003B1E99" w:rsidP="003B1E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Mratinić</w:t>
            </w:r>
            <w:r w:rsidRPr="00967EC1"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sz w:val="18"/>
                <w:szCs w:val="18"/>
                <w:lang w:val="en-GB"/>
              </w:rPr>
              <w:t>Evica</w:t>
            </w:r>
            <w:r w:rsidRPr="00967EC1"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sz w:val="18"/>
                <w:szCs w:val="18"/>
                <w:lang w:val="en-GB"/>
              </w:rPr>
              <w:t>Kojić</w:t>
            </w:r>
            <w:r w:rsidRPr="00967EC1"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sz w:val="18"/>
                <w:szCs w:val="18"/>
                <w:lang w:val="en-GB"/>
              </w:rPr>
              <w:t>M</w:t>
            </w:r>
          </w:p>
        </w:tc>
        <w:tc>
          <w:tcPr>
            <w:tcW w:w="3686" w:type="dxa"/>
            <w:gridSpan w:val="4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SamoniklevrstevoćakaSrbije</w:t>
            </w:r>
          </w:p>
        </w:tc>
        <w:tc>
          <w:tcPr>
            <w:tcW w:w="2835" w:type="dxa"/>
            <w:gridSpan w:val="3"/>
            <w:vAlign w:val="center"/>
          </w:tcPr>
          <w:p w:rsidR="003B1E99" w:rsidRPr="00967EC1" w:rsidRDefault="003B1E99" w:rsidP="003B1E99">
            <w:pPr>
              <w:tabs>
                <w:tab w:val="num" w:pos="4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Institutzaistraživanjaupoljoprivredi</w:t>
            </w:r>
            <w:r w:rsidRPr="00967EC1">
              <w:rPr>
                <w:sz w:val="18"/>
                <w:szCs w:val="18"/>
                <w:lang w:val="en-GB"/>
              </w:rPr>
              <w:t xml:space="preserve"> „</w:t>
            </w:r>
            <w:r>
              <w:rPr>
                <w:sz w:val="18"/>
                <w:szCs w:val="18"/>
                <w:lang w:val="en-GB"/>
              </w:rPr>
              <w:t>Srbija</w:t>
            </w:r>
            <w:r w:rsidRPr="00967EC1">
              <w:rPr>
                <w:sz w:val="18"/>
                <w:szCs w:val="18"/>
                <w:lang w:val="en-GB"/>
              </w:rPr>
              <w:t xml:space="preserve">“, </w:t>
            </w:r>
            <w:r>
              <w:rPr>
                <w:sz w:val="18"/>
                <w:szCs w:val="18"/>
                <w:lang w:val="en-GB"/>
              </w:rPr>
              <w:t>Beograd</w:t>
            </w:r>
          </w:p>
        </w:tc>
        <w:tc>
          <w:tcPr>
            <w:tcW w:w="725" w:type="dxa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sz w:val="18"/>
                <w:szCs w:val="18"/>
                <w:lang w:val="en-GB"/>
              </w:rPr>
              <w:t>1998</w:t>
            </w:r>
          </w:p>
        </w:tc>
      </w:tr>
      <w:tr w:rsidR="003B1E99" w:rsidRPr="00967EC1" w:rsidTr="00280DBA">
        <w:trPr>
          <w:trHeight w:val="597"/>
        </w:trPr>
        <w:tc>
          <w:tcPr>
            <w:tcW w:w="675" w:type="dxa"/>
            <w:vAlign w:val="center"/>
          </w:tcPr>
          <w:p w:rsidR="003B1E99" w:rsidRPr="00967EC1" w:rsidRDefault="003B1E99" w:rsidP="003B1E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Jovanović</w:t>
            </w:r>
            <w:r w:rsidRPr="00967EC1"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sz w:val="18"/>
                <w:szCs w:val="18"/>
                <w:lang w:val="en-GB"/>
              </w:rPr>
              <w:t>B</w:t>
            </w:r>
          </w:p>
        </w:tc>
        <w:tc>
          <w:tcPr>
            <w:tcW w:w="3686" w:type="dxa"/>
            <w:gridSpan w:val="4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Dendrologija</w:t>
            </w:r>
            <w:r w:rsidRPr="00967EC1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835" w:type="dxa"/>
            <w:gridSpan w:val="3"/>
            <w:vAlign w:val="center"/>
          </w:tcPr>
          <w:p w:rsidR="003B1E99" w:rsidRPr="00967EC1" w:rsidRDefault="003B1E99" w:rsidP="003B1E99">
            <w:pPr>
              <w:tabs>
                <w:tab w:val="num" w:pos="4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Naučnaknjiga</w:t>
            </w:r>
            <w:r w:rsidRPr="00967EC1"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sz w:val="18"/>
                <w:szCs w:val="18"/>
                <w:lang w:val="en-GB"/>
              </w:rPr>
              <w:t>Beograd</w:t>
            </w:r>
          </w:p>
        </w:tc>
        <w:tc>
          <w:tcPr>
            <w:tcW w:w="725" w:type="dxa"/>
            <w:vAlign w:val="center"/>
          </w:tcPr>
          <w:p w:rsidR="003B1E99" w:rsidRPr="00967EC1" w:rsidRDefault="003B1E99" w:rsidP="003B1E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sz w:val="18"/>
                <w:szCs w:val="18"/>
                <w:lang w:val="en-GB"/>
              </w:rPr>
              <w:t>2000</w:t>
            </w:r>
          </w:p>
        </w:tc>
      </w:tr>
    </w:tbl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678" w:rsidRDefault="00F07678" w:rsidP="00121F00">
      <w:pPr>
        <w:spacing w:after="0"/>
      </w:pPr>
      <w:r>
        <w:separator/>
      </w:r>
    </w:p>
  </w:endnote>
  <w:endnote w:type="continuationSeparator" w:id="1">
    <w:p w:rsidR="00F07678" w:rsidRDefault="00F07678" w:rsidP="00121F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678" w:rsidRDefault="00F07678" w:rsidP="00121F00">
      <w:pPr>
        <w:spacing w:after="0"/>
      </w:pPr>
      <w:r>
        <w:separator/>
      </w:r>
    </w:p>
  </w:footnote>
  <w:footnote w:type="continuationSeparator" w:id="1">
    <w:p w:rsidR="00F07678" w:rsidRDefault="00F07678" w:rsidP="00121F0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818"/>
      <w:gridCol w:w="6372"/>
      <w:gridCol w:w="1432"/>
    </w:tblGrid>
    <w:tr w:rsidR="00121F00" w:rsidRPr="00121F00" w:rsidTr="003E5744">
      <w:trPr>
        <w:trHeight w:val="694"/>
      </w:trPr>
      <w:tc>
        <w:tcPr>
          <w:tcW w:w="1818" w:type="dxa"/>
          <w:vMerge w:val="restart"/>
          <w:vAlign w:val="center"/>
        </w:tcPr>
        <w:p w:rsidR="00121F00" w:rsidRPr="00121F00" w:rsidRDefault="00121F00" w:rsidP="003B1E99">
          <w:pPr>
            <w:spacing w:after="0" w:line="240" w:lineRule="auto"/>
            <w:jc w:val="center"/>
          </w:pPr>
          <w:r w:rsidRPr="00121F00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1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121F00" w:rsidRPr="00121F00" w:rsidRDefault="00121F00" w:rsidP="003B1E99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121F00">
            <w:rPr>
              <w:rFonts w:ascii="Arial" w:hAnsi="Arial" w:cs="Arial"/>
              <w:sz w:val="16"/>
              <w:szCs w:val="16"/>
            </w:rPr>
            <w:t>UNIVERSITY OF NOVI SAD</w:t>
          </w:r>
        </w:p>
        <w:p w:rsidR="00121F00" w:rsidRPr="00121F00" w:rsidRDefault="00121F00" w:rsidP="003B1E99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121F00" w:rsidRPr="00121F00" w:rsidRDefault="00121F00" w:rsidP="003B1E9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6"/>
              <w:szCs w:val="16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121F00" w:rsidRPr="00121F00" w:rsidRDefault="00121F00" w:rsidP="003B1E99">
          <w:pPr>
            <w:spacing w:after="0" w:line="240" w:lineRule="auto"/>
            <w:jc w:val="center"/>
          </w:pPr>
          <w:r w:rsidRPr="00121F00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2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1F00" w:rsidRPr="00121F00" w:rsidTr="003E5744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121F00" w:rsidRPr="00121F00" w:rsidRDefault="00121F00" w:rsidP="003B1E99">
          <w:pPr>
            <w:spacing w:after="0" w:line="240" w:lineRule="auto"/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121F00" w:rsidRPr="00121F00" w:rsidRDefault="00121F00" w:rsidP="003B1E99">
          <w:pPr>
            <w:spacing w:after="0" w:line="240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121F00">
            <w:rPr>
              <w:rFonts w:ascii="Arial" w:hAnsi="Arial" w:cs="Arial"/>
              <w:sz w:val="28"/>
              <w:szCs w:val="28"/>
            </w:rPr>
            <w:t>Study Programme Accreditation</w:t>
          </w:r>
        </w:p>
        <w:p w:rsidR="00121F00" w:rsidRPr="00121F00" w:rsidRDefault="00121F00" w:rsidP="003B1E99">
          <w:pPr>
            <w:spacing w:after="0" w:line="240" w:lineRule="auto"/>
            <w:jc w:val="center"/>
          </w:pPr>
        </w:p>
        <w:p w:rsidR="00121F00" w:rsidRPr="00121F00" w:rsidRDefault="00121F00" w:rsidP="003B1E9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 xml:space="preserve">MASTER ACADEMIC STUDIES </w:t>
          </w:r>
        </w:p>
        <w:p w:rsidR="00121F00" w:rsidRPr="00121F00" w:rsidRDefault="00121F00" w:rsidP="003B1E9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>RURAL DEVELOPMENT AND AGRITOURISM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121F00" w:rsidRPr="00121F00" w:rsidRDefault="00121F00" w:rsidP="003B1E99">
          <w:pPr>
            <w:spacing w:after="0" w:line="240" w:lineRule="auto"/>
          </w:pPr>
        </w:p>
      </w:tc>
    </w:tr>
    <w:tr w:rsidR="00121F00" w:rsidRPr="00121F00" w:rsidTr="003E5744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121F00" w:rsidRPr="00121F00" w:rsidRDefault="00121F00" w:rsidP="003B1E9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>Table 5.2 Course specification</w:t>
          </w:r>
        </w:p>
      </w:tc>
    </w:tr>
  </w:tbl>
  <w:p w:rsidR="00121F00" w:rsidRDefault="00121F00" w:rsidP="00121F00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7410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126A45"/>
    <w:multiLevelType w:val="hybridMultilevel"/>
    <w:tmpl w:val="F5102C96"/>
    <w:lvl w:ilvl="0" w:tplc="13888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F00"/>
    <w:rsid w:val="00005936"/>
    <w:rsid w:val="00031247"/>
    <w:rsid w:val="00121F00"/>
    <w:rsid w:val="00383643"/>
    <w:rsid w:val="003B1E99"/>
    <w:rsid w:val="00474BCC"/>
    <w:rsid w:val="007E7597"/>
    <w:rsid w:val="00823204"/>
    <w:rsid w:val="00884F99"/>
    <w:rsid w:val="00C25483"/>
    <w:rsid w:val="00D65D93"/>
    <w:rsid w:val="00D7497A"/>
    <w:rsid w:val="00F0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9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1F00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F00"/>
  </w:style>
  <w:style w:type="paragraph" w:styleId="Footer">
    <w:name w:val="footer"/>
    <w:basedOn w:val="Normal"/>
    <w:link w:val="FooterChar"/>
    <w:uiPriority w:val="99"/>
    <w:semiHidden/>
    <w:unhideWhenUsed/>
    <w:rsid w:val="00121F00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F00"/>
  </w:style>
  <w:style w:type="table" w:styleId="TableGrid">
    <w:name w:val="Table Grid"/>
    <w:basedOn w:val="TableNormal"/>
    <w:uiPriority w:val="59"/>
    <w:rsid w:val="00121F00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F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2015-01-21T18:09:00Z</dcterms:created>
  <dcterms:modified xsi:type="dcterms:W3CDTF">2015-01-22T14:30:00Z</dcterms:modified>
</cp:coreProperties>
</file>