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6"/>
        <w:tblpPr w:leftFromText="180" w:rightFromText="180" w:vertAnchor="page" w:horzAnchor="margin" w:tblpY="3420"/>
        <w:tblW w:w="0" w:type="auto"/>
        <w:tblLook w:val="04A0"/>
      </w:tblPr>
      <w:tblGrid>
        <w:gridCol w:w="675"/>
        <w:gridCol w:w="1551"/>
        <w:gridCol w:w="1110"/>
        <w:gridCol w:w="499"/>
        <w:gridCol w:w="708"/>
        <w:gridCol w:w="1004"/>
        <w:gridCol w:w="1315"/>
        <w:gridCol w:w="425"/>
        <w:gridCol w:w="685"/>
        <w:gridCol w:w="1090"/>
      </w:tblGrid>
      <w:tr w:rsidR="002D15EC" w:rsidRPr="006605FC" w:rsidTr="00F94DB3">
        <w:tc>
          <w:tcPr>
            <w:tcW w:w="2226" w:type="dxa"/>
            <w:gridSpan w:val="2"/>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Course id:2МRR2I42</w:t>
            </w:r>
          </w:p>
        </w:tc>
        <w:tc>
          <w:tcPr>
            <w:tcW w:w="6836" w:type="dxa"/>
            <w:gridSpan w:val="8"/>
            <w:vMerge w:val="restart"/>
          </w:tcPr>
          <w:p w:rsidR="002D15EC" w:rsidRPr="006605FC" w:rsidRDefault="002D15EC" w:rsidP="00F94DB3">
            <w:pPr>
              <w:rPr>
                <w:rFonts w:ascii="Calibri" w:eastAsia="Calibri" w:hAnsi="Calibri" w:cs="Times New Roman"/>
              </w:rPr>
            </w:pPr>
            <w:r w:rsidRPr="006605FC">
              <w:rPr>
                <w:rFonts w:ascii="Calibri" w:eastAsia="Calibri" w:hAnsi="Calibri" w:cs="Times New Roman"/>
              </w:rPr>
              <w:t>Financial Markets and Rural Development Financing</w:t>
            </w:r>
          </w:p>
        </w:tc>
      </w:tr>
      <w:tr w:rsidR="002D15EC" w:rsidRPr="006605FC" w:rsidTr="00F94DB3">
        <w:tc>
          <w:tcPr>
            <w:tcW w:w="2226" w:type="dxa"/>
            <w:gridSpan w:val="2"/>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Number of ECTS: 6</w:t>
            </w:r>
          </w:p>
        </w:tc>
        <w:tc>
          <w:tcPr>
            <w:tcW w:w="6836" w:type="dxa"/>
            <w:gridSpan w:val="8"/>
            <w:vMerge/>
          </w:tcPr>
          <w:p w:rsidR="002D15EC" w:rsidRPr="006605FC" w:rsidRDefault="002D15EC" w:rsidP="00F94DB3">
            <w:pPr>
              <w:rPr>
                <w:rFonts w:ascii="Calibri" w:eastAsia="Calibri" w:hAnsi="Calibri" w:cs="Times New Roman"/>
              </w:rPr>
            </w:pPr>
          </w:p>
        </w:tc>
      </w:tr>
      <w:tr w:rsidR="002D15EC" w:rsidRPr="006605FC" w:rsidTr="00F94DB3">
        <w:tc>
          <w:tcPr>
            <w:tcW w:w="2226" w:type="dxa"/>
            <w:gridSpan w:val="2"/>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Teacher:</w:t>
            </w:r>
          </w:p>
        </w:tc>
        <w:tc>
          <w:tcPr>
            <w:tcW w:w="6836" w:type="dxa"/>
            <w:gridSpan w:val="8"/>
          </w:tcPr>
          <w:p w:rsidR="002D15EC" w:rsidRPr="006605FC" w:rsidRDefault="002D15EC" w:rsidP="00F94DB3">
            <w:pPr>
              <w:rPr>
                <w:rFonts w:ascii="Calibri" w:eastAsia="Calibri" w:hAnsi="Calibri" w:cs="Times New Roman"/>
              </w:rPr>
            </w:pPr>
            <w:r w:rsidRPr="006605FC">
              <w:rPr>
                <w:rFonts w:ascii="Calibri" w:eastAsia="Calibri" w:hAnsi="Calibri" w:cs="Times New Roman"/>
              </w:rPr>
              <w:t>Nedeljko Lj. Tica</w:t>
            </w:r>
          </w:p>
          <w:p w:rsidR="002D15EC" w:rsidRPr="006605FC" w:rsidRDefault="002D15EC" w:rsidP="00F94DB3">
            <w:pPr>
              <w:rPr>
                <w:rFonts w:ascii="Calibri" w:eastAsia="Calibri" w:hAnsi="Calibri" w:cs="Times New Roman"/>
              </w:rPr>
            </w:pPr>
            <w:r w:rsidRPr="006605FC">
              <w:rPr>
                <w:rFonts w:ascii="Calibri" w:eastAsia="Calibri" w:hAnsi="Calibri" w:cs="Times New Roman"/>
              </w:rPr>
              <w:t>Dragan M. Milić</w:t>
            </w:r>
          </w:p>
        </w:tc>
      </w:tr>
      <w:tr w:rsidR="002D15EC" w:rsidRPr="006605FC" w:rsidTr="00F94DB3">
        <w:tc>
          <w:tcPr>
            <w:tcW w:w="2226" w:type="dxa"/>
            <w:gridSpan w:val="2"/>
            <w:tcBorders>
              <w:bottom w:val="single" w:sz="4" w:space="0" w:color="auto"/>
            </w:tcBorders>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Course status</w:t>
            </w:r>
          </w:p>
        </w:tc>
        <w:tc>
          <w:tcPr>
            <w:tcW w:w="6836" w:type="dxa"/>
            <w:gridSpan w:val="8"/>
            <w:tcBorders>
              <w:bottom w:val="single" w:sz="4" w:space="0" w:color="auto"/>
            </w:tcBorders>
          </w:tcPr>
          <w:p w:rsidR="002D15EC" w:rsidRPr="006605FC" w:rsidRDefault="002D15EC" w:rsidP="00F94DB3">
            <w:pPr>
              <w:rPr>
                <w:rFonts w:ascii="Calibri" w:eastAsia="Calibri" w:hAnsi="Calibri" w:cs="Times New Roman"/>
              </w:rPr>
            </w:pPr>
            <w:r w:rsidRPr="006605FC">
              <w:rPr>
                <w:rFonts w:ascii="Calibri" w:eastAsia="Calibri" w:hAnsi="Calibri" w:cs="Times New Roman"/>
                <w:sz w:val="18"/>
                <w:szCs w:val="18"/>
              </w:rPr>
              <w:t>Elective</w:t>
            </w:r>
          </w:p>
        </w:tc>
      </w:tr>
      <w:tr w:rsidR="002D15EC" w:rsidRPr="006605FC" w:rsidTr="00F94DB3">
        <w:trPr>
          <w:trHeight w:val="227"/>
        </w:trPr>
        <w:tc>
          <w:tcPr>
            <w:tcW w:w="9062" w:type="dxa"/>
            <w:gridSpan w:val="10"/>
            <w:tcBorders>
              <w:bottom w:val="single" w:sz="4" w:space="0" w:color="auto"/>
            </w:tcBorders>
            <w:shd w:val="clear" w:color="auto" w:fill="C2D69B"/>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2D15EC" w:rsidRPr="006605FC" w:rsidTr="00F94DB3">
        <w:trPr>
          <w:trHeight w:val="227"/>
        </w:trPr>
        <w:tc>
          <w:tcPr>
            <w:tcW w:w="2226"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Lectures:</w:t>
            </w:r>
          </w:p>
        </w:tc>
        <w:tc>
          <w:tcPr>
            <w:tcW w:w="1609"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Tutorials:</w:t>
            </w:r>
          </w:p>
        </w:tc>
        <w:tc>
          <w:tcPr>
            <w:tcW w:w="1712"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740"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775"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2D15EC" w:rsidRPr="006605FC" w:rsidTr="00F94DB3">
        <w:tc>
          <w:tcPr>
            <w:tcW w:w="2226" w:type="dxa"/>
            <w:gridSpan w:val="2"/>
            <w:shd w:val="clear" w:color="auto" w:fill="C2D69B"/>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6836" w:type="dxa"/>
            <w:gridSpan w:val="8"/>
            <w:shd w:val="clear" w:color="auto" w:fill="C2D69B"/>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None</w:t>
            </w:r>
          </w:p>
        </w:tc>
      </w:tr>
      <w:tr w:rsidR="002D15EC" w:rsidRPr="006605FC" w:rsidTr="00F94DB3">
        <w:tc>
          <w:tcPr>
            <w:tcW w:w="9062" w:type="dxa"/>
            <w:gridSpan w:val="10"/>
          </w:tcPr>
          <w:p w:rsidR="002D15EC" w:rsidRPr="006605FC" w:rsidRDefault="002D15EC" w:rsidP="002D15EC">
            <w:pPr>
              <w:numPr>
                <w:ilvl w:val="0"/>
                <w:numId w:val="30"/>
              </w:numPr>
              <w:contextualSpacing/>
              <w:rPr>
                <w:rFonts w:ascii="Arial" w:eastAsia="Calibri" w:hAnsi="Arial" w:cs="Arial"/>
                <w:sz w:val="16"/>
                <w:szCs w:val="16"/>
              </w:rPr>
            </w:pPr>
            <w:r w:rsidRPr="006605FC">
              <w:rPr>
                <w:rFonts w:ascii="Arial" w:eastAsia="Calibri" w:hAnsi="Arial" w:cs="Arial"/>
                <w:sz w:val="16"/>
                <w:szCs w:val="16"/>
              </w:rPr>
              <w:t>Educational goal</w:t>
            </w:r>
          </w:p>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Students are to gain competence in the theory and practice of complex categories of modern financial markets and wide financing system in agritourism, agriculture and rural development.</w:t>
            </w:r>
          </w:p>
        </w:tc>
      </w:tr>
      <w:tr w:rsidR="002D15EC" w:rsidRPr="006605FC" w:rsidTr="00F94DB3">
        <w:tc>
          <w:tcPr>
            <w:tcW w:w="9062" w:type="dxa"/>
            <w:gridSpan w:val="10"/>
          </w:tcPr>
          <w:p w:rsidR="002D15EC" w:rsidRPr="006605FC" w:rsidRDefault="002D15EC" w:rsidP="002D15EC">
            <w:pPr>
              <w:numPr>
                <w:ilvl w:val="0"/>
                <w:numId w:val="30"/>
              </w:numPr>
              <w:ind w:left="284" w:hanging="284"/>
              <w:contextualSpacing/>
              <w:rPr>
                <w:rFonts w:ascii="Arial" w:eastAsia="Calibri" w:hAnsi="Arial" w:cs="Arial"/>
                <w:sz w:val="16"/>
                <w:szCs w:val="16"/>
              </w:rPr>
            </w:pPr>
            <w:r w:rsidRPr="006605FC">
              <w:rPr>
                <w:rFonts w:ascii="Arial" w:eastAsia="Calibri" w:hAnsi="Arial" w:cs="Arial"/>
                <w:sz w:val="16"/>
                <w:szCs w:val="16"/>
              </w:rPr>
              <w:t>Educational outcomes</w:t>
            </w:r>
          </w:p>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 xml:space="preserve">Students will be capable of further theoretical practice in the given field, both on financial market and in financial institutions, as well as in other regulatory financial institutions, ministries, local government bodies, cooperatives, agribusiness enterprises etc. </w:t>
            </w:r>
          </w:p>
          <w:p w:rsidR="002D15EC" w:rsidRPr="006605FC" w:rsidRDefault="002D15EC" w:rsidP="00F94DB3">
            <w:pPr>
              <w:rPr>
                <w:rFonts w:ascii="Calibri" w:eastAsia="Calibri" w:hAnsi="Calibri" w:cs="Times New Roman"/>
              </w:rPr>
            </w:pPr>
          </w:p>
        </w:tc>
      </w:tr>
      <w:tr w:rsidR="002D15EC" w:rsidRPr="006605FC" w:rsidTr="00F94DB3">
        <w:tc>
          <w:tcPr>
            <w:tcW w:w="9062" w:type="dxa"/>
            <w:gridSpan w:val="10"/>
          </w:tcPr>
          <w:p w:rsidR="002D15EC" w:rsidRPr="006605FC" w:rsidRDefault="002D15EC" w:rsidP="002D15EC">
            <w:pPr>
              <w:numPr>
                <w:ilvl w:val="0"/>
                <w:numId w:val="30"/>
              </w:numPr>
              <w:ind w:left="284" w:hanging="284"/>
              <w:contextualSpacing/>
              <w:rPr>
                <w:rFonts w:ascii="Arial" w:eastAsia="Calibri" w:hAnsi="Arial" w:cs="Arial"/>
                <w:sz w:val="16"/>
                <w:szCs w:val="16"/>
              </w:rPr>
            </w:pPr>
            <w:r w:rsidRPr="006605FC">
              <w:rPr>
                <w:rFonts w:ascii="Arial" w:eastAsia="Calibri" w:hAnsi="Arial" w:cs="Arial"/>
                <w:sz w:val="16"/>
                <w:szCs w:val="16"/>
              </w:rPr>
              <w:t>Course content</w:t>
            </w:r>
          </w:p>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i/>
                <w:sz w:val="18"/>
                <w:szCs w:val="18"/>
              </w:rPr>
              <w:t>Theoretical Instruction</w:t>
            </w:r>
            <w:r w:rsidRPr="006605FC">
              <w:rPr>
                <w:rFonts w:ascii="Calibri" w:eastAsia="Calibri" w:hAnsi="Calibri" w:cs="Times New Roman"/>
                <w:sz w:val="18"/>
                <w:szCs w:val="18"/>
              </w:rPr>
              <w:t xml:space="preserve"> </w:t>
            </w:r>
            <w:r w:rsidRPr="006605FC">
              <w:rPr>
                <w:rFonts w:ascii="Calibri" w:eastAsia="Calibri" w:hAnsi="Calibri" w:cs="Times New Roman"/>
              </w:rPr>
              <w:t>Introduction</w:t>
            </w:r>
            <w:r w:rsidRPr="006605FC">
              <w:rPr>
                <w:rFonts w:ascii="Calibri" w:eastAsia="Calibri" w:hAnsi="Calibri" w:cs="Times New Roman"/>
                <w:sz w:val="18"/>
                <w:szCs w:val="18"/>
              </w:rPr>
              <w:t xml:space="preserve"> to the theory and practice of finances and financing, mainly to structural changes in the financial services sector and current tendencies in banking. Introduction to assessment process: concepts, standards etc. An overview of theory and practice related to mergers and acquisitions, regulatory context (rules, institutions and mechanisms of their influence), development of financial markets and financial organizations abroad and in Serbia, financial methods and categories, and rural development financing characteristics. </w:t>
            </w:r>
          </w:p>
          <w:p w:rsidR="002D15EC" w:rsidRPr="006605FC" w:rsidRDefault="002D15EC" w:rsidP="00F94DB3">
            <w:pPr>
              <w:rPr>
                <w:rFonts w:ascii="Calibri" w:eastAsia="Calibri" w:hAnsi="Calibri" w:cs="Times New Roman"/>
                <w:sz w:val="18"/>
                <w:szCs w:val="18"/>
              </w:rPr>
            </w:pPr>
          </w:p>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i/>
                <w:sz w:val="18"/>
                <w:szCs w:val="18"/>
              </w:rPr>
              <w:t>Practical Instruction</w:t>
            </w:r>
            <w:r w:rsidRPr="006605FC">
              <w:rPr>
                <w:rFonts w:ascii="Calibri" w:eastAsia="Calibri" w:hAnsi="Calibri" w:cs="Times New Roman"/>
                <w:sz w:val="18"/>
                <w:szCs w:val="18"/>
              </w:rPr>
              <w:t xml:space="preserve"> Introduction to the methodology and techniques of the financial analysis used in relation to corporate business, especially in the case of agribusiness enterprises. Introduction to the method and techniques of stock market business – futures trade. Introduction to the techniques of solvency assessment, strategic and operational business planning and development of business plans. Introduction to different financing sources and methods and techniques used in that process, financial risk, the role and importance of audits.</w:t>
            </w:r>
          </w:p>
          <w:p w:rsidR="002D15EC" w:rsidRPr="006605FC" w:rsidRDefault="002D15EC" w:rsidP="00F94DB3">
            <w:pPr>
              <w:rPr>
                <w:rFonts w:ascii="Calibri" w:eastAsia="Calibri" w:hAnsi="Calibri" w:cs="Times New Roman"/>
              </w:rPr>
            </w:pPr>
          </w:p>
        </w:tc>
      </w:tr>
      <w:tr w:rsidR="002D15EC" w:rsidRPr="006605FC" w:rsidTr="00F94DB3">
        <w:tc>
          <w:tcPr>
            <w:tcW w:w="9062" w:type="dxa"/>
            <w:gridSpan w:val="10"/>
            <w:tcBorders>
              <w:bottom w:val="single" w:sz="4" w:space="0" w:color="auto"/>
            </w:tcBorders>
          </w:tcPr>
          <w:p w:rsidR="002D15EC" w:rsidRPr="006605FC" w:rsidRDefault="002D15EC" w:rsidP="002D15EC">
            <w:pPr>
              <w:numPr>
                <w:ilvl w:val="0"/>
                <w:numId w:val="30"/>
              </w:numPr>
              <w:ind w:left="284" w:hanging="284"/>
              <w:contextualSpacing/>
              <w:rPr>
                <w:rFonts w:ascii="Arial" w:eastAsia="Calibri" w:hAnsi="Arial" w:cs="Arial"/>
                <w:sz w:val="16"/>
                <w:szCs w:val="16"/>
              </w:rPr>
            </w:pPr>
            <w:r w:rsidRPr="006605FC">
              <w:rPr>
                <w:rFonts w:ascii="Arial" w:eastAsia="Calibri" w:hAnsi="Arial" w:cs="Arial"/>
                <w:sz w:val="16"/>
                <w:szCs w:val="16"/>
              </w:rPr>
              <w:t>Teaching methods</w:t>
            </w:r>
          </w:p>
          <w:p w:rsidR="002D15EC" w:rsidRPr="006605FC" w:rsidRDefault="002D15EC" w:rsidP="00F94DB3">
            <w:pPr>
              <w:rPr>
                <w:rFonts w:ascii="Arial" w:eastAsia="Calibri" w:hAnsi="Arial" w:cs="Arial"/>
                <w:sz w:val="16"/>
                <w:szCs w:val="16"/>
              </w:rPr>
            </w:pPr>
          </w:p>
          <w:p w:rsidR="002D15EC" w:rsidRPr="006605FC" w:rsidRDefault="002D15EC"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seminar papers, presentation and practical examples. </w:t>
            </w:r>
          </w:p>
        </w:tc>
      </w:tr>
      <w:tr w:rsidR="002D15EC" w:rsidRPr="006605FC" w:rsidTr="00F94DB3">
        <w:tc>
          <w:tcPr>
            <w:tcW w:w="9062" w:type="dxa"/>
            <w:gridSpan w:val="10"/>
            <w:tcBorders>
              <w:bottom w:val="single" w:sz="4" w:space="0" w:color="auto"/>
            </w:tcBorders>
            <w:shd w:val="clear" w:color="auto" w:fill="C2D69B"/>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2D15EC" w:rsidRPr="006605FC" w:rsidTr="00F94DB3">
        <w:tc>
          <w:tcPr>
            <w:tcW w:w="2226" w:type="dxa"/>
            <w:gridSpan w:val="2"/>
            <w:shd w:val="clear" w:color="auto" w:fill="auto"/>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110" w:type="dxa"/>
            <w:shd w:val="clear" w:color="auto" w:fill="auto"/>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Mandatory</w:t>
            </w:r>
          </w:p>
        </w:tc>
        <w:tc>
          <w:tcPr>
            <w:tcW w:w="1207"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319"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10"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090" w:type="dxa"/>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2D15EC" w:rsidRPr="006605FC" w:rsidTr="00F94DB3">
        <w:tc>
          <w:tcPr>
            <w:tcW w:w="2226" w:type="dxa"/>
            <w:gridSpan w:val="2"/>
            <w:shd w:val="clear" w:color="auto" w:fill="auto"/>
            <w:vAlign w:val="center"/>
          </w:tcPr>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110" w:type="dxa"/>
            <w:shd w:val="clear" w:color="auto" w:fill="auto"/>
            <w:vAlign w:val="center"/>
          </w:tcPr>
          <w:p w:rsidR="002D15EC" w:rsidRPr="006605FC" w:rsidRDefault="002D15E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15</w:t>
            </w:r>
          </w:p>
        </w:tc>
        <w:tc>
          <w:tcPr>
            <w:tcW w:w="2319" w:type="dxa"/>
            <w:gridSpan w:val="2"/>
            <w:shd w:val="clear" w:color="auto" w:fill="auto"/>
            <w:vAlign w:val="center"/>
          </w:tcPr>
          <w:p w:rsidR="002D15EC" w:rsidRPr="006605FC" w:rsidRDefault="002D15EC"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10"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090" w:type="dxa"/>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30</w:t>
            </w:r>
          </w:p>
        </w:tc>
      </w:tr>
      <w:tr w:rsidR="002D15EC" w:rsidRPr="006605FC" w:rsidTr="00F94DB3">
        <w:tc>
          <w:tcPr>
            <w:tcW w:w="2226" w:type="dxa"/>
            <w:gridSpan w:val="2"/>
            <w:shd w:val="clear" w:color="auto" w:fill="auto"/>
            <w:vAlign w:val="center"/>
          </w:tcPr>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Seminar paper</w:t>
            </w:r>
          </w:p>
        </w:tc>
        <w:tc>
          <w:tcPr>
            <w:tcW w:w="1110" w:type="dxa"/>
            <w:shd w:val="clear" w:color="auto" w:fill="auto"/>
            <w:vAlign w:val="center"/>
          </w:tcPr>
          <w:p w:rsidR="002D15EC" w:rsidRPr="006605FC" w:rsidRDefault="002D15E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40</w:t>
            </w:r>
          </w:p>
        </w:tc>
        <w:tc>
          <w:tcPr>
            <w:tcW w:w="4519" w:type="dxa"/>
            <w:gridSpan w:val="5"/>
            <w:vMerge w:val="restart"/>
            <w:shd w:val="clear" w:color="auto" w:fill="auto"/>
            <w:vAlign w:val="center"/>
          </w:tcPr>
          <w:p w:rsidR="002D15EC" w:rsidRPr="006605FC" w:rsidRDefault="002D15EC" w:rsidP="00F94DB3">
            <w:pPr>
              <w:jc w:val="center"/>
              <w:rPr>
                <w:rFonts w:ascii="Arial" w:eastAsia="Calibri" w:hAnsi="Arial" w:cs="Arial"/>
                <w:sz w:val="16"/>
                <w:szCs w:val="16"/>
              </w:rPr>
            </w:pPr>
          </w:p>
        </w:tc>
      </w:tr>
      <w:tr w:rsidR="002D15EC" w:rsidRPr="006605FC" w:rsidTr="00F94DB3">
        <w:tc>
          <w:tcPr>
            <w:tcW w:w="2226" w:type="dxa"/>
            <w:gridSpan w:val="2"/>
            <w:shd w:val="clear" w:color="auto" w:fill="auto"/>
            <w:vAlign w:val="center"/>
          </w:tcPr>
          <w:p w:rsidR="002D15EC" w:rsidRPr="006605FC" w:rsidRDefault="002D15EC" w:rsidP="00F94DB3">
            <w:pPr>
              <w:rPr>
                <w:rFonts w:ascii="Calibri" w:eastAsia="Calibri" w:hAnsi="Calibri" w:cs="Times New Roman"/>
                <w:sz w:val="18"/>
                <w:szCs w:val="18"/>
              </w:rPr>
            </w:pPr>
            <w:r w:rsidRPr="006605FC">
              <w:rPr>
                <w:rFonts w:ascii="Calibri" w:eastAsia="Calibri" w:hAnsi="Calibri" w:cs="Times New Roman"/>
                <w:sz w:val="18"/>
                <w:szCs w:val="18"/>
              </w:rPr>
              <w:t>Tutorials attendance</w:t>
            </w:r>
          </w:p>
        </w:tc>
        <w:tc>
          <w:tcPr>
            <w:tcW w:w="1110" w:type="dxa"/>
            <w:shd w:val="clear" w:color="auto" w:fill="auto"/>
            <w:vAlign w:val="center"/>
          </w:tcPr>
          <w:p w:rsidR="002D15EC" w:rsidRPr="006605FC" w:rsidRDefault="002D15E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shd w:val="clear" w:color="auto" w:fill="auto"/>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15</w:t>
            </w:r>
          </w:p>
        </w:tc>
        <w:tc>
          <w:tcPr>
            <w:tcW w:w="4519" w:type="dxa"/>
            <w:gridSpan w:val="5"/>
            <w:vMerge/>
            <w:shd w:val="clear" w:color="auto" w:fill="auto"/>
            <w:vAlign w:val="center"/>
          </w:tcPr>
          <w:p w:rsidR="002D15EC" w:rsidRPr="006605FC" w:rsidRDefault="002D15EC" w:rsidP="00F94DB3">
            <w:pPr>
              <w:jc w:val="center"/>
              <w:rPr>
                <w:rFonts w:ascii="Arial" w:eastAsia="Calibri" w:hAnsi="Arial" w:cs="Arial"/>
                <w:sz w:val="16"/>
                <w:szCs w:val="16"/>
              </w:rPr>
            </w:pPr>
          </w:p>
        </w:tc>
      </w:tr>
      <w:tr w:rsidR="002D15EC" w:rsidRPr="006605FC" w:rsidTr="00F94DB3">
        <w:tc>
          <w:tcPr>
            <w:tcW w:w="2226" w:type="dxa"/>
            <w:gridSpan w:val="2"/>
            <w:tcBorders>
              <w:bottom w:val="single" w:sz="4" w:space="0" w:color="auto"/>
            </w:tcBorders>
            <w:shd w:val="clear" w:color="auto" w:fill="auto"/>
            <w:vAlign w:val="center"/>
          </w:tcPr>
          <w:p w:rsidR="002D15EC" w:rsidRPr="006605FC" w:rsidRDefault="002D15EC" w:rsidP="00F94DB3">
            <w:pPr>
              <w:rPr>
                <w:rFonts w:ascii="Arial" w:eastAsia="Calibri" w:hAnsi="Arial" w:cs="Arial"/>
                <w:sz w:val="16"/>
                <w:szCs w:val="16"/>
              </w:rPr>
            </w:pPr>
          </w:p>
        </w:tc>
        <w:tc>
          <w:tcPr>
            <w:tcW w:w="1110" w:type="dxa"/>
            <w:tcBorders>
              <w:bottom w:val="single" w:sz="4" w:space="0" w:color="auto"/>
            </w:tcBorders>
            <w:shd w:val="clear" w:color="auto" w:fill="auto"/>
            <w:vAlign w:val="center"/>
          </w:tcPr>
          <w:p w:rsidR="002D15EC" w:rsidRPr="006605FC" w:rsidRDefault="002D15EC" w:rsidP="00F94DB3">
            <w:pPr>
              <w:jc w:val="center"/>
              <w:rPr>
                <w:rFonts w:ascii="Calibri" w:eastAsia="Calibri" w:hAnsi="Calibri" w:cs="Times New Roman"/>
              </w:rPr>
            </w:pPr>
            <w:r w:rsidRPr="006605FC">
              <w:rPr>
                <w:rFonts w:ascii="Arial" w:eastAsia="Calibri" w:hAnsi="Arial" w:cs="Arial"/>
                <w:sz w:val="16"/>
                <w:szCs w:val="16"/>
              </w:rPr>
              <w:t>Yes/No</w:t>
            </w:r>
          </w:p>
        </w:tc>
        <w:tc>
          <w:tcPr>
            <w:tcW w:w="1207" w:type="dxa"/>
            <w:gridSpan w:val="2"/>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p>
        </w:tc>
        <w:tc>
          <w:tcPr>
            <w:tcW w:w="4519" w:type="dxa"/>
            <w:gridSpan w:val="5"/>
            <w:vMerge/>
            <w:tcBorders>
              <w:bottom w:val="single" w:sz="4" w:space="0" w:color="auto"/>
            </w:tcBorders>
            <w:shd w:val="clear" w:color="auto" w:fill="auto"/>
            <w:vAlign w:val="center"/>
          </w:tcPr>
          <w:p w:rsidR="002D15EC" w:rsidRPr="006605FC" w:rsidRDefault="002D15EC" w:rsidP="00F94DB3">
            <w:pPr>
              <w:jc w:val="center"/>
              <w:rPr>
                <w:rFonts w:ascii="Arial" w:eastAsia="Calibri" w:hAnsi="Arial" w:cs="Arial"/>
                <w:sz w:val="16"/>
                <w:szCs w:val="16"/>
              </w:rPr>
            </w:pPr>
          </w:p>
        </w:tc>
      </w:tr>
      <w:tr w:rsidR="002D15EC" w:rsidRPr="006605FC" w:rsidTr="00F94DB3">
        <w:tc>
          <w:tcPr>
            <w:tcW w:w="9062" w:type="dxa"/>
            <w:gridSpan w:val="10"/>
            <w:shd w:val="clear" w:color="auto" w:fill="C2D69B"/>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2D15EC" w:rsidRPr="006605FC" w:rsidTr="00F94DB3">
        <w:tc>
          <w:tcPr>
            <w:tcW w:w="675"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551"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429" w:type="dxa"/>
            <w:gridSpan w:val="4"/>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Erić, D.</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FInansijska tržišta i instrumenti</w:t>
            </w:r>
          </w:p>
        </w:tc>
        <w:tc>
          <w:tcPr>
            <w:tcW w:w="3429" w:type="dxa"/>
            <w:gridSpan w:val="4"/>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Čigoja Štampa, Beograd</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Harwood A.</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Financial Markets and Development, The Crisis in Emerging Markets</w:t>
            </w:r>
          </w:p>
        </w:tc>
        <w:tc>
          <w:tcPr>
            <w:tcW w:w="3429" w:type="dxa"/>
            <w:gridSpan w:val="4"/>
            <w:vAlign w:val="center"/>
          </w:tcPr>
          <w:p w:rsidR="002D15EC" w:rsidRPr="006605FC" w:rsidRDefault="002D15EC" w:rsidP="00F94DB3">
            <w:pPr>
              <w:jc w:val="center"/>
              <w:rPr>
                <w:rFonts w:ascii="Arial" w:eastAsia="Calibri" w:hAnsi="Arial" w:cs="Arial"/>
                <w:sz w:val="16"/>
                <w:szCs w:val="16"/>
              </w:rPr>
            </w:pP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1999</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Hadžić, M.</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Bankarstvo</w:t>
            </w:r>
          </w:p>
        </w:tc>
        <w:tc>
          <w:tcPr>
            <w:tcW w:w="3429" w:type="dxa"/>
            <w:gridSpan w:val="4"/>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Singidunum, Beograd</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2007</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Madura, J.</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Financial Markets and Institutions</w:t>
            </w:r>
          </w:p>
        </w:tc>
        <w:tc>
          <w:tcPr>
            <w:tcW w:w="3429" w:type="dxa"/>
            <w:gridSpan w:val="4"/>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ITP, Ohio</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2D15EC" w:rsidRPr="006605FC" w:rsidTr="00F94DB3">
        <w:tc>
          <w:tcPr>
            <w:tcW w:w="675" w:type="dxa"/>
            <w:vAlign w:val="center"/>
          </w:tcPr>
          <w:p w:rsidR="002D15EC" w:rsidRPr="006605FC" w:rsidRDefault="002D15EC" w:rsidP="002D15EC">
            <w:pPr>
              <w:numPr>
                <w:ilvl w:val="0"/>
                <w:numId w:val="31"/>
              </w:numPr>
              <w:contextualSpacing/>
              <w:jc w:val="center"/>
              <w:rPr>
                <w:rFonts w:ascii="Arial" w:eastAsia="Calibri" w:hAnsi="Arial" w:cs="Arial"/>
                <w:sz w:val="16"/>
                <w:szCs w:val="16"/>
              </w:rPr>
            </w:pPr>
          </w:p>
        </w:tc>
        <w:tc>
          <w:tcPr>
            <w:tcW w:w="1551" w:type="dxa"/>
            <w:vAlign w:val="center"/>
          </w:tcPr>
          <w:p w:rsidR="002D15EC" w:rsidRPr="006605FC" w:rsidRDefault="002D15EC" w:rsidP="00F94DB3">
            <w:pPr>
              <w:rPr>
                <w:rFonts w:ascii="Arial" w:eastAsia="Calibri" w:hAnsi="Arial" w:cs="Arial"/>
                <w:sz w:val="16"/>
                <w:szCs w:val="16"/>
              </w:rPr>
            </w:pPr>
            <w:r w:rsidRPr="006605FC">
              <w:rPr>
                <w:rFonts w:ascii="Arial" w:eastAsia="Calibri" w:hAnsi="Arial" w:cs="Arial"/>
                <w:sz w:val="16"/>
                <w:szCs w:val="16"/>
              </w:rPr>
              <w:t>Houthakker H., Williamson J.P.</w:t>
            </w:r>
          </w:p>
        </w:tc>
        <w:tc>
          <w:tcPr>
            <w:tcW w:w="2317" w:type="dxa"/>
            <w:gridSpan w:val="3"/>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The Economics of Financial Markets</w:t>
            </w:r>
          </w:p>
        </w:tc>
        <w:tc>
          <w:tcPr>
            <w:tcW w:w="3429" w:type="dxa"/>
            <w:gridSpan w:val="4"/>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Oxford University Press US</w:t>
            </w:r>
          </w:p>
        </w:tc>
        <w:tc>
          <w:tcPr>
            <w:tcW w:w="1090" w:type="dxa"/>
            <w:vAlign w:val="center"/>
          </w:tcPr>
          <w:p w:rsidR="002D15EC" w:rsidRPr="006605FC" w:rsidRDefault="002D15EC" w:rsidP="00F94DB3">
            <w:pPr>
              <w:jc w:val="center"/>
              <w:rPr>
                <w:rFonts w:ascii="Arial" w:eastAsia="Calibri" w:hAnsi="Arial" w:cs="Arial"/>
                <w:sz w:val="16"/>
                <w:szCs w:val="16"/>
              </w:rPr>
            </w:pPr>
            <w:r w:rsidRPr="006605FC">
              <w:rPr>
                <w:rFonts w:ascii="Arial" w:eastAsia="Calibri" w:hAnsi="Arial" w:cs="Arial"/>
                <w:sz w:val="16"/>
                <w:szCs w:val="16"/>
              </w:rPr>
              <w:t>1996</w:t>
            </w:r>
          </w:p>
        </w:tc>
      </w:tr>
    </w:tbl>
    <w:p w:rsidR="00C058E7" w:rsidRPr="0033706A" w:rsidRDefault="00C058E7" w:rsidP="0033706A">
      <w:pPr>
        <w:spacing w:after="0" w:line="240" w:lineRule="auto"/>
        <w:rPr>
          <w:spacing w:val="-6"/>
        </w:rPr>
      </w:pPr>
    </w:p>
    <w:sectPr w:rsidR="00C058E7" w:rsidRPr="0033706A" w:rsidSect="003C10C1">
      <w:headerReference w:type="even" r:id="rId7"/>
      <w:headerReference w:type="default" r:id="rId8"/>
      <w:footerReference w:type="even" r:id="rId9"/>
      <w:footerReference w:type="default" r:id="rId10"/>
      <w:headerReference w:type="first" r:id="rId11"/>
      <w:footerReference w:type="first" r:id="rId12"/>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2A3" w:rsidRDefault="009A12A3" w:rsidP="00187BB1">
      <w:pPr>
        <w:spacing w:after="0" w:line="240" w:lineRule="auto"/>
      </w:pPr>
      <w:r>
        <w:separator/>
      </w:r>
    </w:p>
  </w:endnote>
  <w:endnote w:type="continuationSeparator" w:id="1">
    <w:p w:rsidR="009A12A3" w:rsidRDefault="009A12A3"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B6" w:rsidRDefault="00565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B6" w:rsidRDefault="00565A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B6" w:rsidRDefault="00565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2A3" w:rsidRDefault="009A12A3" w:rsidP="00187BB1">
      <w:pPr>
        <w:spacing w:after="0" w:line="240" w:lineRule="auto"/>
      </w:pPr>
      <w:r>
        <w:separator/>
      </w:r>
    </w:p>
  </w:footnote>
  <w:footnote w:type="continuationSeparator" w:id="1">
    <w:p w:rsidR="009A12A3" w:rsidRDefault="009A12A3"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B6" w:rsidRDefault="00565A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A3519D"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A3519D"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9A12A3" w:rsidP="00F94DB3">
          <w:pPr>
            <w:jc w:val="center"/>
            <w:rPr>
              <w:rFonts w:ascii="Arial" w:hAnsi="Arial" w:cs="Arial"/>
              <w:sz w:val="16"/>
              <w:szCs w:val="16"/>
              <w:lang w:val="en-GB"/>
            </w:rPr>
          </w:pPr>
        </w:p>
        <w:p w:rsidR="00D12518" w:rsidRPr="007A20E8" w:rsidRDefault="00A3519D"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A3519D"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9A12A3"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A3519D" w:rsidP="00F94DB3">
          <w:pPr>
            <w:jc w:val="center"/>
            <w:rPr>
              <w:sz w:val="28"/>
              <w:szCs w:val="28"/>
              <w:lang w:val="en-GB"/>
            </w:rPr>
          </w:pPr>
          <w:r w:rsidRPr="007A20E8">
            <w:rPr>
              <w:sz w:val="28"/>
              <w:szCs w:val="28"/>
              <w:lang w:val="en-GB"/>
            </w:rPr>
            <w:t>Study Programme Accreditation</w:t>
          </w:r>
        </w:p>
        <w:p w:rsidR="00D12518" w:rsidRPr="007A20E8" w:rsidRDefault="009A12A3" w:rsidP="00F94DB3">
          <w:pPr>
            <w:jc w:val="center"/>
            <w:rPr>
              <w:lang w:val="en-GB"/>
            </w:rPr>
          </w:pPr>
        </w:p>
        <w:p w:rsidR="00565AB6" w:rsidRPr="00565AB6" w:rsidRDefault="00565AB6" w:rsidP="00565AB6">
          <w:pPr>
            <w:spacing w:after="80"/>
            <w:jc w:val="center"/>
            <w:rPr>
              <w:rFonts w:ascii="Arial" w:hAnsi="Arial" w:cs="Arial"/>
              <w:sz w:val="18"/>
              <w:szCs w:val="18"/>
            </w:rPr>
          </w:pPr>
          <w:r w:rsidRPr="00565AB6">
            <w:rPr>
              <w:rFonts w:ascii="Arial" w:hAnsi="Arial" w:cs="Arial"/>
              <w:sz w:val="18"/>
              <w:szCs w:val="18"/>
            </w:rPr>
            <w:t xml:space="preserve">MASTER ACADEMIC STUDIES </w:t>
          </w:r>
        </w:p>
        <w:p w:rsidR="00D12518" w:rsidRPr="007A20E8" w:rsidRDefault="00565AB6" w:rsidP="00565AB6">
          <w:pPr>
            <w:jc w:val="center"/>
            <w:rPr>
              <w:rFonts w:ascii="Arial" w:hAnsi="Arial" w:cs="Arial"/>
              <w:sz w:val="18"/>
              <w:szCs w:val="18"/>
              <w:lang w:val="en-GB"/>
            </w:rPr>
          </w:pPr>
          <w:r w:rsidRPr="00565AB6">
            <w:rPr>
              <w:rFonts w:ascii="Arial" w:hAnsi="Arial" w:cs="Arial"/>
              <w:sz w:val="18"/>
              <w:szCs w:val="18"/>
            </w:rPr>
            <w:t>RURAL DEVELOPMENT AND AGRITOURISM</w:t>
          </w:r>
        </w:p>
      </w:tc>
      <w:tc>
        <w:tcPr>
          <w:tcW w:w="1432" w:type="dxa"/>
          <w:vMerge/>
          <w:tcBorders>
            <w:bottom w:val="single" w:sz="4" w:space="0" w:color="auto"/>
          </w:tcBorders>
        </w:tcPr>
        <w:p w:rsidR="00D12518" w:rsidRPr="007A20E8" w:rsidRDefault="009A12A3"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A3519D"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9A12A3" w:rsidP="00187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B6" w:rsidRDefault="00565A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6A34B3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907D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E269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30DC1"/>
    <w:multiLevelType w:val="hybridMultilevel"/>
    <w:tmpl w:val="055C17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B3F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95768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346144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262C8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E54E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7"/>
  </w:num>
  <w:num w:numId="4">
    <w:abstractNumId w:val="21"/>
  </w:num>
  <w:num w:numId="5">
    <w:abstractNumId w:val="5"/>
  </w:num>
  <w:num w:numId="6">
    <w:abstractNumId w:val="29"/>
  </w:num>
  <w:num w:numId="7">
    <w:abstractNumId w:val="23"/>
  </w:num>
  <w:num w:numId="8">
    <w:abstractNumId w:val="12"/>
  </w:num>
  <w:num w:numId="9">
    <w:abstractNumId w:val="13"/>
  </w:num>
  <w:num w:numId="10">
    <w:abstractNumId w:val="9"/>
  </w:num>
  <w:num w:numId="11">
    <w:abstractNumId w:val="6"/>
  </w:num>
  <w:num w:numId="12">
    <w:abstractNumId w:val="15"/>
  </w:num>
  <w:num w:numId="13">
    <w:abstractNumId w:val="10"/>
  </w:num>
  <w:num w:numId="14">
    <w:abstractNumId w:val="0"/>
  </w:num>
  <w:num w:numId="15">
    <w:abstractNumId w:val="2"/>
  </w:num>
  <w:num w:numId="16">
    <w:abstractNumId w:val="22"/>
  </w:num>
  <w:num w:numId="17">
    <w:abstractNumId w:val="14"/>
  </w:num>
  <w:num w:numId="18">
    <w:abstractNumId w:val="3"/>
  </w:num>
  <w:num w:numId="19">
    <w:abstractNumId w:val="26"/>
  </w:num>
  <w:num w:numId="20">
    <w:abstractNumId w:val="8"/>
  </w:num>
  <w:num w:numId="21">
    <w:abstractNumId w:val="24"/>
  </w:num>
  <w:num w:numId="22">
    <w:abstractNumId w:val="4"/>
  </w:num>
  <w:num w:numId="23">
    <w:abstractNumId w:val="16"/>
  </w:num>
  <w:num w:numId="24">
    <w:abstractNumId w:val="27"/>
  </w:num>
  <w:num w:numId="25">
    <w:abstractNumId w:val="25"/>
  </w:num>
  <w:num w:numId="26">
    <w:abstractNumId w:val="18"/>
  </w:num>
  <w:num w:numId="27">
    <w:abstractNumId w:val="28"/>
  </w:num>
  <w:num w:numId="28">
    <w:abstractNumId w:val="11"/>
  </w:num>
  <w:num w:numId="29">
    <w:abstractNumId w:val="20"/>
  </w:num>
  <w:num w:numId="30">
    <w:abstractNumId w:val="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A6BA2"/>
    <w:rsid w:val="00162D29"/>
    <w:rsid w:val="00187BB1"/>
    <w:rsid w:val="001C49F6"/>
    <w:rsid w:val="0021466E"/>
    <w:rsid w:val="0028081A"/>
    <w:rsid w:val="002D15EC"/>
    <w:rsid w:val="0033706A"/>
    <w:rsid w:val="00396815"/>
    <w:rsid w:val="003C10C1"/>
    <w:rsid w:val="003F5CC3"/>
    <w:rsid w:val="00565AB6"/>
    <w:rsid w:val="005947DB"/>
    <w:rsid w:val="005E4CBD"/>
    <w:rsid w:val="007570ED"/>
    <w:rsid w:val="007B357D"/>
    <w:rsid w:val="007F0ACC"/>
    <w:rsid w:val="008A6BA2"/>
    <w:rsid w:val="00905E69"/>
    <w:rsid w:val="009A12A3"/>
    <w:rsid w:val="00A3519D"/>
    <w:rsid w:val="00A67CB8"/>
    <w:rsid w:val="00B565D4"/>
    <w:rsid w:val="00BB47C7"/>
    <w:rsid w:val="00BE5310"/>
    <w:rsid w:val="00C0546B"/>
    <w:rsid w:val="00C058E7"/>
    <w:rsid w:val="00C4451A"/>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14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6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370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D1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dejan.jankovic</cp:lastModifiedBy>
  <cp:revision>3</cp:revision>
  <dcterms:created xsi:type="dcterms:W3CDTF">2015-01-21T14:14:00Z</dcterms:created>
  <dcterms:modified xsi:type="dcterms:W3CDTF">2015-01-22T13:15:00Z</dcterms:modified>
</cp:coreProperties>
</file>