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18"/>
        <w:tblpPr w:leftFromText="180" w:rightFromText="180" w:vertAnchor="page" w:horzAnchor="margin" w:tblpY="3420"/>
        <w:tblW w:w="0" w:type="auto"/>
        <w:tblLook w:val="04A0"/>
      </w:tblPr>
      <w:tblGrid>
        <w:gridCol w:w="675"/>
        <w:gridCol w:w="1417"/>
        <w:gridCol w:w="284"/>
        <w:gridCol w:w="1134"/>
        <w:gridCol w:w="567"/>
        <w:gridCol w:w="734"/>
        <w:gridCol w:w="1109"/>
        <w:gridCol w:w="1418"/>
        <w:gridCol w:w="425"/>
        <w:gridCol w:w="709"/>
        <w:gridCol w:w="1150"/>
      </w:tblGrid>
      <w:tr w:rsidR="00B641AA" w:rsidRPr="00621F54" w:rsidTr="003E5744">
        <w:trPr>
          <w:trHeight w:val="420"/>
        </w:trPr>
        <w:tc>
          <w:tcPr>
            <w:tcW w:w="2092" w:type="dxa"/>
            <w:gridSpan w:val="2"/>
            <w:shd w:val="clear" w:color="auto" w:fill="C2D69B" w:themeFill="accent3" w:themeFillTint="99"/>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Course:</w:t>
            </w:r>
          </w:p>
        </w:tc>
        <w:tc>
          <w:tcPr>
            <w:tcW w:w="7530" w:type="dxa"/>
            <w:gridSpan w:val="9"/>
            <w:vMerge w:val="restart"/>
            <w:vAlign w:val="center"/>
          </w:tcPr>
          <w:p w:rsidR="00B641AA" w:rsidRPr="00621F54" w:rsidRDefault="00B641AA" w:rsidP="00B641AA">
            <w:pPr>
              <w:spacing w:after="0" w:line="240" w:lineRule="auto"/>
              <w:jc w:val="center"/>
              <w:rPr>
                <w:rFonts w:ascii="Arial" w:hAnsi="Arial" w:cs="Arial"/>
                <w:i/>
                <w:sz w:val="18"/>
                <w:szCs w:val="18"/>
                <w:lang w:val="en-GB"/>
              </w:rPr>
            </w:pPr>
            <w:r w:rsidRPr="00621F54">
              <w:rPr>
                <w:rFonts w:ascii="Arial" w:eastAsia="Times New Roman" w:hAnsi="Arial" w:cs="Arial"/>
                <w:i/>
                <w:sz w:val="24"/>
                <w:szCs w:val="20"/>
                <w:lang w:val="en-GB"/>
              </w:rPr>
              <w:t>Finances and Financial Business</w:t>
            </w:r>
          </w:p>
        </w:tc>
      </w:tr>
      <w:tr w:rsidR="00B641AA" w:rsidRPr="00621F54" w:rsidTr="003E5744">
        <w:tc>
          <w:tcPr>
            <w:tcW w:w="2092" w:type="dxa"/>
            <w:gridSpan w:val="2"/>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Course id:</w:t>
            </w:r>
            <w:r w:rsidRPr="00621F54">
              <w:rPr>
                <w:rFonts w:ascii="Times New Roman" w:eastAsia="Times New Roman" w:hAnsi="Times New Roman" w:cs="Times New Roman"/>
                <w:sz w:val="18"/>
                <w:szCs w:val="18"/>
                <w:lang w:val="en-GB"/>
              </w:rPr>
              <w:t>3ОАЕ7О30</w:t>
            </w:r>
          </w:p>
        </w:tc>
        <w:tc>
          <w:tcPr>
            <w:tcW w:w="7530" w:type="dxa"/>
            <w:gridSpan w:val="9"/>
            <w:vMerge/>
          </w:tcPr>
          <w:p w:rsidR="00B641AA" w:rsidRPr="00621F54" w:rsidRDefault="00B641AA" w:rsidP="00B641AA">
            <w:pPr>
              <w:spacing w:after="0" w:line="240" w:lineRule="auto"/>
              <w:rPr>
                <w:lang w:val="en-GB"/>
              </w:rPr>
            </w:pPr>
          </w:p>
        </w:tc>
      </w:tr>
      <w:tr w:rsidR="00B641AA" w:rsidRPr="00621F54" w:rsidTr="003E5744">
        <w:tc>
          <w:tcPr>
            <w:tcW w:w="2092" w:type="dxa"/>
            <w:gridSpan w:val="2"/>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Number of ECTS: 5</w:t>
            </w:r>
          </w:p>
        </w:tc>
        <w:tc>
          <w:tcPr>
            <w:tcW w:w="7530" w:type="dxa"/>
            <w:gridSpan w:val="9"/>
            <w:vMerge/>
          </w:tcPr>
          <w:p w:rsidR="00B641AA" w:rsidRPr="00621F54" w:rsidRDefault="00B641AA" w:rsidP="00B641AA">
            <w:pPr>
              <w:spacing w:after="0" w:line="240" w:lineRule="auto"/>
              <w:rPr>
                <w:lang w:val="en-GB"/>
              </w:rPr>
            </w:pPr>
          </w:p>
        </w:tc>
      </w:tr>
      <w:tr w:rsidR="00B641AA" w:rsidRPr="00621F54" w:rsidTr="003E5744">
        <w:trPr>
          <w:trHeight w:val="135"/>
        </w:trPr>
        <w:tc>
          <w:tcPr>
            <w:tcW w:w="2092" w:type="dxa"/>
            <w:gridSpan w:val="2"/>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Teacher:</w:t>
            </w:r>
          </w:p>
        </w:tc>
        <w:tc>
          <w:tcPr>
            <w:tcW w:w="7530" w:type="dxa"/>
            <w:gridSpan w:val="9"/>
          </w:tcPr>
          <w:p w:rsidR="00B641AA" w:rsidRPr="00621F54" w:rsidRDefault="00B641AA" w:rsidP="00B641AA">
            <w:pPr>
              <w:spacing w:after="0" w:line="240" w:lineRule="auto"/>
              <w:rPr>
                <w:rFonts w:ascii="Arial" w:hAnsi="Arial" w:cs="Arial"/>
                <w:lang w:val="en-GB"/>
              </w:rPr>
            </w:pPr>
            <w:r w:rsidRPr="00621F54">
              <w:rPr>
                <w:rFonts w:ascii="Arial" w:eastAsia="Times New Roman" w:hAnsi="Arial" w:cs="Arial"/>
                <w:bCs/>
                <w:sz w:val="20"/>
                <w:szCs w:val="20"/>
                <w:lang w:val="en-GB"/>
              </w:rPr>
              <w:t>Nedeljko, LJ., Tica</w:t>
            </w:r>
          </w:p>
        </w:tc>
      </w:tr>
      <w:tr w:rsidR="00B641AA" w:rsidRPr="00BB1C1B" w:rsidTr="003E5744">
        <w:trPr>
          <w:trHeight w:val="135"/>
        </w:trPr>
        <w:tc>
          <w:tcPr>
            <w:tcW w:w="2092" w:type="dxa"/>
            <w:gridSpan w:val="2"/>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Assistant:</w:t>
            </w:r>
          </w:p>
        </w:tc>
        <w:tc>
          <w:tcPr>
            <w:tcW w:w="7530" w:type="dxa"/>
            <w:gridSpan w:val="9"/>
          </w:tcPr>
          <w:p w:rsidR="00B641AA" w:rsidRPr="00317FA6" w:rsidRDefault="00B641AA" w:rsidP="00B641AA">
            <w:pPr>
              <w:spacing w:after="0" w:line="240" w:lineRule="auto"/>
              <w:rPr>
                <w:rFonts w:ascii="Arial" w:hAnsi="Arial" w:cs="Arial"/>
                <w:lang w:val="de-DE"/>
              </w:rPr>
            </w:pPr>
            <w:r w:rsidRPr="00317FA6">
              <w:rPr>
                <w:rFonts w:ascii="Arial" w:eastAsia="Times New Roman" w:hAnsi="Arial" w:cs="Arial"/>
                <w:bCs/>
                <w:sz w:val="20"/>
                <w:szCs w:val="20"/>
                <w:lang w:val="de-DE"/>
              </w:rPr>
              <w:t>Dragan, M., Milić, Stojan,  B., Kosti</w:t>
            </w:r>
            <w:r>
              <w:rPr>
                <w:rFonts w:ascii="Arial" w:eastAsia="Times New Roman" w:hAnsi="Arial" w:cs="Arial"/>
                <w:bCs/>
                <w:sz w:val="20"/>
                <w:szCs w:val="20"/>
                <w:lang w:val="de-DE"/>
              </w:rPr>
              <w:t>ć</w:t>
            </w:r>
            <w:r w:rsidRPr="00317FA6">
              <w:rPr>
                <w:rFonts w:ascii="Arial" w:eastAsia="Times New Roman" w:hAnsi="Arial" w:cs="Arial"/>
                <w:bCs/>
                <w:sz w:val="20"/>
                <w:szCs w:val="20"/>
                <w:lang w:val="de-DE"/>
              </w:rPr>
              <w:tab/>
            </w:r>
          </w:p>
        </w:tc>
      </w:tr>
      <w:tr w:rsidR="00B641AA" w:rsidRPr="00621F54" w:rsidTr="003E5744">
        <w:tc>
          <w:tcPr>
            <w:tcW w:w="2092" w:type="dxa"/>
            <w:gridSpan w:val="2"/>
            <w:tcBorders>
              <w:bottom w:val="single" w:sz="4" w:space="0" w:color="auto"/>
            </w:tcBorders>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Course status</w:t>
            </w:r>
          </w:p>
        </w:tc>
        <w:tc>
          <w:tcPr>
            <w:tcW w:w="7530" w:type="dxa"/>
            <w:gridSpan w:val="9"/>
            <w:tcBorders>
              <w:bottom w:val="single" w:sz="4" w:space="0" w:color="auto"/>
            </w:tcBorders>
          </w:tcPr>
          <w:p w:rsidR="00B641AA" w:rsidRPr="00621F54" w:rsidRDefault="00B641AA" w:rsidP="00B641AA">
            <w:pPr>
              <w:spacing w:after="0" w:line="240" w:lineRule="auto"/>
              <w:rPr>
                <w:lang w:val="en-GB"/>
              </w:rPr>
            </w:pPr>
            <w:r w:rsidRPr="00621F54">
              <w:rPr>
                <w:sz w:val="18"/>
                <w:szCs w:val="18"/>
                <w:lang w:val="en-GB"/>
              </w:rPr>
              <w:t>Mandatory</w:t>
            </w:r>
          </w:p>
        </w:tc>
      </w:tr>
      <w:tr w:rsidR="00B641AA" w:rsidRPr="00621F54" w:rsidTr="003E5744">
        <w:trPr>
          <w:trHeight w:val="227"/>
        </w:trPr>
        <w:tc>
          <w:tcPr>
            <w:tcW w:w="9622" w:type="dxa"/>
            <w:gridSpan w:val="11"/>
            <w:tcBorders>
              <w:bottom w:val="single" w:sz="4" w:space="0" w:color="auto"/>
            </w:tcBorders>
            <w:shd w:val="clear" w:color="auto" w:fill="C2D69B" w:themeFill="accent3" w:themeFillTint="99"/>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Number of active teaching classes (weekly)</w:t>
            </w:r>
          </w:p>
        </w:tc>
      </w:tr>
      <w:tr w:rsidR="00B641AA" w:rsidRPr="00621F54" w:rsidTr="003E5744">
        <w:trPr>
          <w:trHeight w:val="227"/>
        </w:trPr>
        <w:tc>
          <w:tcPr>
            <w:tcW w:w="2092" w:type="dxa"/>
            <w:gridSpan w:val="2"/>
            <w:tcBorders>
              <w:bottom w:val="single" w:sz="4" w:space="0" w:color="auto"/>
            </w:tcBorders>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Lectures: 4</w:t>
            </w:r>
          </w:p>
        </w:tc>
        <w:tc>
          <w:tcPr>
            <w:tcW w:w="1985" w:type="dxa"/>
            <w:gridSpan w:val="3"/>
            <w:tcBorders>
              <w:bottom w:val="single" w:sz="4" w:space="0" w:color="auto"/>
            </w:tcBorders>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Tutorials: 3</w:t>
            </w:r>
          </w:p>
        </w:tc>
        <w:tc>
          <w:tcPr>
            <w:tcW w:w="1843" w:type="dxa"/>
            <w:gridSpan w:val="2"/>
            <w:tcBorders>
              <w:bottom w:val="single" w:sz="4" w:space="0" w:color="auto"/>
            </w:tcBorders>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Other teaching types:</w:t>
            </w:r>
          </w:p>
        </w:tc>
        <w:tc>
          <w:tcPr>
            <w:tcW w:w="1843" w:type="dxa"/>
            <w:gridSpan w:val="2"/>
            <w:tcBorders>
              <w:bottom w:val="single" w:sz="4" w:space="0" w:color="auto"/>
            </w:tcBorders>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Study research work:</w:t>
            </w:r>
          </w:p>
        </w:tc>
        <w:tc>
          <w:tcPr>
            <w:tcW w:w="1859" w:type="dxa"/>
            <w:gridSpan w:val="2"/>
            <w:tcBorders>
              <w:bottom w:val="single" w:sz="4" w:space="0" w:color="auto"/>
            </w:tcBorders>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Other classes:</w:t>
            </w:r>
          </w:p>
        </w:tc>
      </w:tr>
      <w:tr w:rsidR="00B641AA" w:rsidRPr="00621F54" w:rsidTr="003E5744">
        <w:tc>
          <w:tcPr>
            <w:tcW w:w="2092" w:type="dxa"/>
            <w:gridSpan w:val="2"/>
            <w:shd w:val="clear" w:color="auto" w:fill="C2D69B" w:themeFill="accent3" w:themeFillTint="99"/>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Precondition courses</w:t>
            </w:r>
          </w:p>
        </w:tc>
        <w:tc>
          <w:tcPr>
            <w:tcW w:w="7530" w:type="dxa"/>
            <w:gridSpan w:val="9"/>
            <w:shd w:val="clear" w:color="auto" w:fill="C2D69B" w:themeFill="accent3" w:themeFillTint="99"/>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None</w:t>
            </w:r>
          </w:p>
        </w:tc>
      </w:tr>
      <w:tr w:rsidR="00B641AA" w:rsidRPr="00621F54" w:rsidTr="003E5744">
        <w:tc>
          <w:tcPr>
            <w:tcW w:w="9622" w:type="dxa"/>
            <w:gridSpan w:val="11"/>
          </w:tcPr>
          <w:p w:rsidR="00B641AA" w:rsidRPr="00621F54" w:rsidRDefault="00B641AA" w:rsidP="00B641AA">
            <w:pPr>
              <w:numPr>
                <w:ilvl w:val="0"/>
                <w:numId w:val="3"/>
              </w:numPr>
              <w:spacing w:after="0" w:line="240" w:lineRule="auto"/>
              <w:contextualSpacing/>
              <w:rPr>
                <w:rFonts w:cs="Arial"/>
                <w:sz w:val="16"/>
                <w:szCs w:val="16"/>
                <w:lang w:val="en-GB"/>
              </w:rPr>
            </w:pPr>
            <w:r w:rsidRPr="00621F54">
              <w:rPr>
                <w:rFonts w:cs="Arial"/>
                <w:sz w:val="16"/>
                <w:szCs w:val="16"/>
                <w:lang w:val="en-GB"/>
              </w:rPr>
              <w:t>Educational goal</w:t>
            </w:r>
          </w:p>
          <w:p w:rsidR="00B641AA" w:rsidRPr="00621F54" w:rsidRDefault="00B641AA" w:rsidP="00B641AA">
            <w:pPr>
              <w:spacing w:after="0" w:line="240" w:lineRule="auto"/>
              <w:rPr>
                <w:sz w:val="16"/>
                <w:szCs w:val="16"/>
                <w:lang w:val="en-GB"/>
              </w:rPr>
            </w:pPr>
            <w:r w:rsidRPr="00621F54">
              <w:rPr>
                <w:sz w:val="16"/>
                <w:szCs w:val="16"/>
                <w:lang w:val="en-GB"/>
              </w:rPr>
              <w:t>Introducing students to the aims and methods of operation of the financial function of enterprises, the basic theoretical assumptions of financial strategies and tactics, functioning and instruments of money and capital markets, the basics of financial planning and rehabilitation and reorganization of the company.</w:t>
            </w:r>
          </w:p>
        </w:tc>
      </w:tr>
      <w:tr w:rsidR="00B641AA" w:rsidRPr="00621F54" w:rsidTr="003E5744">
        <w:tc>
          <w:tcPr>
            <w:tcW w:w="9622" w:type="dxa"/>
            <w:gridSpan w:val="11"/>
          </w:tcPr>
          <w:p w:rsidR="00B641AA" w:rsidRPr="00621F54" w:rsidRDefault="00B641AA" w:rsidP="00B641AA">
            <w:pPr>
              <w:numPr>
                <w:ilvl w:val="0"/>
                <w:numId w:val="3"/>
              </w:numPr>
              <w:spacing w:after="0" w:line="240" w:lineRule="auto"/>
              <w:ind w:left="284" w:hanging="284"/>
              <w:contextualSpacing/>
              <w:rPr>
                <w:rFonts w:cs="Arial"/>
                <w:sz w:val="16"/>
                <w:szCs w:val="16"/>
                <w:lang w:val="en-GB"/>
              </w:rPr>
            </w:pPr>
            <w:r w:rsidRPr="00621F54">
              <w:rPr>
                <w:rFonts w:cs="Arial"/>
                <w:sz w:val="16"/>
                <w:szCs w:val="16"/>
                <w:lang w:val="en-GB"/>
              </w:rPr>
              <w:t>Educational outcomes</w:t>
            </w:r>
          </w:p>
          <w:p w:rsidR="00B641AA" w:rsidRPr="00621F54" w:rsidRDefault="00B641AA" w:rsidP="00B641AA">
            <w:pPr>
              <w:spacing w:after="0" w:line="240" w:lineRule="auto"/>
              <w:rPr>
                <w:sz w:val="16"/>
                <w:szCs w:val="16"/>
                <w:lang w:val="en-GB"/>
              </w:rPr>
            </w:pPr>
            <w:r w:rsidRPr="00621F54">
              <w:rPr>
                <w:sz w:val="16"/>
                <w:szCs w:val="16"/>
                <w:lang w:val="en-GB"/>
              </w:rPr>
              <w:t xml:space="preserve">Upon completion of the course, students will be able to perform financial calculations and complex financial projections. In addition, students will gain the knowledge necessary for analytical interpretation of financial reports. </w:t>
            </w:r>
          </w:p>
          <w:p w:rsidR="00B641AA" w:rsidRPr="00621F54" w:rsidRDefault="00B641AA" w:rsidP="00B641AA">
            <w:pPr>
              <w:spacing w:after="0" w:line="240" w:lineRule="auto"/>
              <w:rPr>
                <w:sz w:val="16"/>
                <w:szCs w:val="16"/>
                <w:lang w:val="en-GB"/>
              </w:rPr>
            </w:pPr>
          </w:p>
        </w:tc>
      </w:tr>
      <w:tr w:rsidR="00B641AA" w:rsidRPr="00621F54" w:rsidTr="003E5744">
        <w:tc>
          <w:tcPr>
            <w:tcW w:w="9622" w:type="dxa"/>
            <w:gridSpan w:val="11"/>
          </w:tcPr>
          <w:p w:rsidR="00B641AA" w:rsidRPr="00621F54" w:rsidRDefault="00B641AA" w:rsidP="00B641AA">
            <w:pPr>
              <w:numPr>
                <w:ilvl w:val="0"/>
                <w:numId w:val="3"/>
              </w:numPr>
              <w:spacing w:after="0" w:line="240" w:lineRule="auto"/>
              <w:ind w:left="284" w:hanging="284"/>
              <w:contextualSpacing/>
              <w:rPr>
                <w:rFonts w:cs="Arial"/>
                <w:sz w:val="16"/>
                <w:szCs w:val="16"/>
                <w:lang w:val="en-GB"/>
              </w:rPr>
            </w:pPr>
            <w:r w:rsidRPr="00621F54">
              <w:rPr>
                <w:rFonts w:cs="Arial"/>
                <w:sz w:val="16"/>
                <w:szCs w:val="16"/>
                <w:lang w:val="en-GB"/>
              </w:rPr>
              <w:t>Course content</w:t>
            </w:r>
          </w:p>
          <w:p w:rsidR="00B641AA" w:rsidRPr="00621F54" w:rsidRDefault="00B641AA" w:rsidP="00B641AA">
            <w:pPr>
              <w:spacing w:after="0" w:line="240" w:lineRule="auto"/>
              <w:rPr>
                <w:i/>
                <w:sz w:val="16"/>
                <w:szCs w:val="16"/>
                <w:lang w:val="en-GB"/>
              </w:rPr>
            </w:pPr>
            <w:r w:rsidRPr="00621F54">
              <w:rPr>
                <w:i/>
                <w:sz w:val="16"/>
                <w:szCs w:val="16"/>
                <w:lang w:val="en-GB"/>
              </w:rPr>
              <w:t>Theoretical Instruction</w:t>
            </w:r>
          </w:p>
          <w:p w:rsidR="00B641AA" w:rsidRPr="00621F54" w:rsidRDefault="00B641AA" w:rsidP="00B641AA">
            <w:pPr>
              <w:spacing w:after="0" w:line="240" w:lineRule="auto"/>
              <w:rPr>
                <w:sz w:val="16"/>
                <w:szCs w:val="16"/>
                <w:lang w:val="en-GB"/>
              </w:rPr>
            </w:pPr>
            <w:r w:rsidRPr="00621F54">
              <w:rPr>
                <w:sz w:val="16"/>
                <w:szCs w:val="16"/>
                <w:lang w:val="en-GB"/>
              </w:rPr>
              <w:t xml:space="preserve">Financial functions of the enterprise; financial policies and financial rules; financial market and financing; financial planning;  financial strategies;  financial consolidation of enterprises; financial investment management; technological and organisational management; liquidity and company balance sheet; payment operations; bankruptcy and reorganization of companies; calculation of interest; calculation of discount rate; evaluation of the asset and capital value; determining and analysing financial results; alternative forms of financing. </w:t>
            </w:r>
          </w:p>
          <w:p w:rsidR="00B641AA" w:rsidRPr="00621F54" w:rsidRDefault="00B641AA" w:rsidP="00B641AA">
            <w:pPr>
              <w:spacing w:after="0" w:line="240" w:lineRule="auto"/>
              <w:rPr>
                <w:i/>
                <w:sz w:val="16"/>
                <w:szCs w:val="16"/>
                <w:lang w:val="en-GB"/>
              </w:rPr>
            </w:pPr>
            <w:r w:rsidRPr="00621F54">
              <w:rPr>
                <w:i/>
                <w:sz w:val="16"/>
                <w:szCs w:val="16"/>
                <w:lang w:val="en-GB"/>
              </w:rPr>
              <w:t>Practical Instruction</w:t>
            </w:r>
          </w:p>
          <w:p w:rsidR="00B641AA" w:rsidRPr="00621F54" w:rsidRDefault="00B641AA" w:rsidP="00B641AA">
            <w:pPr>
              <w:spacing w:after="0" w:line="240" w:lineRule="auto"/>
              <w:rPr>
                <w:sz w:val="16"/>
                <w:szCs w:val="16"/>
                <w:lang w:val="en-GB"/>
              </w:rPr>
            </w:pPr>
            <w:r w:rsidRPr="00621F54">
              <w:rPr>
                <w:sz w:val="16"/>
                <w:szCs w:val="16"/>
                <w:lang w:val="en-GB"/>
              </w:rPr>
              <w:t>The concept and the tasks of financial services; calculation of interests and bank charges; example of  evaluation of the capital value; determining financial equilibrium;  alternative forms of financing.</w:t>
            </w:r>
          </w:p>
        </w:tc>
      </w:tr>
      <w:tr w:rsidR="00B641AA" w:rsidRPr="00621F54" w:rsidTr="003E5744">
        <w:tc>
          <w:tcPr>
            <w:tcW w:w="9622" w:type="dxa"/>
            <w:gridSpan w:val="11"/>
            <w:tcBorders>
              <w:bottom w:val="single" w:sz="4" w:space="0" w:color="auto"/>
            </w:tcBorders>
          </w:tcPr>
          <w:p w:rsidR="00B641AA" w:rsidRPr="00621F54" w:rsidRDefault="00B641AA" w:rsidP="00B641AA">
            <w:pPr>
              <w:numPr>
                <w:ilvl w:val="0"/>
                <w:numId w:val="3"/>
              </w:numPr>
              <w:spacing w:after="0" w:line="240" w:lineRule="auto"/>
              <w:ind w:left="284" w:hanging="284"/>
              <w:contextualSpacing/>
              <w:rPr>
                <w:rFonts w:cs="Arial"/>
                <w:sz w:val="16"/>
                <w:szCs w:val="16"/>
                <w:lang w:val="en-GB"/>
              </w:rPr>
            </w:pPr>
            <w:r w:rsidRPr="00621F54">
              <w:rPr>
                <w:rFonts w:cs="Arial"/>
                <w:sz w:val="16"/>
                <w:szCs w:val="16"/>
                <w:lang w:val="en-GB"/>
              </w:rPr>
              <w:t>Teaching methods</w:t>
            </w:r>
          </w:p>
          <w:p w:rsidR="00B641AA" w:rsidRPr="00621F54" w:rsidRDefault="00B641AA" w:rsidP="00B641AA">
            <w:pPr>
              <w:spacing w:after="0" w:line="240" w:lineRule="auto"/>
              <w:rPr>
                <w:sz w:val="18"/>
                <w:szCs w:val="18"/>
                <w:lang w:val="en-GB"/>
              </w:rPr>
            </w:pPr>
            <w:r w:rsidRPr="00621F54">
              <w:rPr>
                <w:rFonts w:cs="Arial"/>
                <w:sz w:val="16"/>
                <w:szCs w:val="16"/>
              </w:rPr>
              <w:t xml:space="preserve">During theoretical instructions students are introduced to the theory. Theory is interpreted through demonstration and practical examples during tutorials. </w:t>
            </w:r>
          </w:p>
        </w:tc>
      </w:tr>
      <w:tr w:rsidR="00B641AA" w:rsidRPr="00621F54" w:rsidTr="003E5744">
        <w:tc>
          <w:tcPr>
            <w:tcW w:w="9622" w:type="dxa"/>
            <w:gridSpan w:val="11"/>
            <w:tcBorders>
              <w:bottom w:val="single" w:sz="4" w:space="0" w:color="auto"/>
            </w:tcBorders>
            <w:shd w:val="clear" w:color="auto" w:fill="C2D69B" w:themeFill="accent3" w:themeFillTint="99"/>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Knowledge evaluation (maximum 100 points)</w:t>
            </w:r>
          </w:p>
        </w:tc>
      </w:tr>
      <w:tr w:rsidR="00B641AA" w:rsidRPr="00621F54" w:rsidTr="003E5744">
        <w:tc>
          <w:tcPr>
            <w:tcW w:w="2376" w:type="dxa"/>
            <w:gridSpan w:val="3"/>
            <w:shd w:val="clear" w:color="auto" w:fill="auto"/>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Pre-examination obligations</w:t>
            </w:r>
          </w:p>
        </w:tc>
        <w:tc>
          <w:tcPr>
            <w:tcW w:w="1134" w:type="dxa"/>
            <w:shd w:val="clear" w:color="auto" w:fill="auto"/>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Mandatory</w:t>
            </w:r>
          </w:p>
        </w:tc>
        <w:tc>
          <w:tcPr>
            <w:tcW w:w="1301" w:type="dxa"/>
            <w:gridSpan w:val="2"/>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Points</w:t>
            </w:r>
          </w:p>
        </w:tc>
        <w:tc>
          <w:tcPr>
            <w:tcW w:w="2527" w:type="dxa"/>
            <w:gridSpan w:val="2"/>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 xml:space="preserve">Final exam </w:t>
            </w:r>
          </w:p>
        </w:tc>
        <w:tc>
          <w:tcPr>
            <w:tcW w:w="1134" w:type="dxa"/>
            <w:gridSpan w:val="2"/>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Mandatory</w:t>
            </w:r>
          </w:p>
        </w:tc>
        <w:tc>
          <w:tcPr>
            <w:tcW w:w="1150" w:type="dxa"/>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Points</w:t>
            </w:r>
          </w:p>
        </w:tc>
      </w:tr>
      <w:tr w:rsidR="00B641AA" w:rsidRPr="00621F54" w:rsidTr="003E5744">
        <w:trPr>
          <w:trHeight w:val="201"/>
        </w:trPr>
        <w:tc>
          <w:tcPr>
            <w:tcW w:w="2376" w:type="dxa"/>
            <w:gridSpan w:val="3"/>
            <w:vMerge w:val="restart"/>
            <w:shd w:val="clear" w:color="auto" w:fill="auto"/>
            <w:vAlign w:val="center"/>
          </w:tcPr>
          <w:p w:rsidR="00B641AA" w:rsidRPr="00621F54" w:rsidRDefault="00B641AA" w:rsidP="00B641AA">
            <w:pPr>
              <w:spacing w:after="0" w:line="240" w:lineRule="auto"/>
              <w:rPr>
                <w:sz w:val="18"/>
                <w:szCs w:val="18"/>
                <w:lang w:val="en-GB"/>
              </w:rPr>
            </w:pPr>
            <w:r w:rsidRPr="00621F54">
              <w:rPr>
                <w:sz w:val="18"/>
                <w:szCs w:val="18"/>
                <w:lang w:val="en-GB"/>
              </w:rPr>
              <w:t>Lecture attendance</w:t>
            </w:r>
          </w:p>
        </w:tc>
        <w:tc>
          <w:tcPr>
            <w:tcW w:w="1134" w:type="dxa"/>
            <w:vMerge w:val="restart"/>
            <w:shd w:val="clear" w:color="auto" w:fill="auto"/>
            <w:vAlign w:val="center"/>
          </w:tcPr>
          <w:p w:rsidR="00B641AA" w:rsidRPr="00621F54" w:rsidRDefault="00B641AA" w:rsidP="00B641AA">
            <w:pPr>
              <w:spacing w:after="0" w:line="240" w:lineRule="auto"/>
              <w:jc w:val="center"/>
              <w:rPr>
                <w:lang w:val="en-GB"/>
              </w:rPr>
            </w:pPr>
            <w:r w:rsidRPr="00621F54">
              <w:rPr>
                <w:rFonts w:ascii="Arial" w:hAnsi="Arial" w:cs="Arial"/>
                <w:sz w:val="16"/>
                <w:szCs w:val="16"/>
                <w:lang w:val="en-GB"/>
              </w:rPr>
              <w:t>Yes/No</w:t>
            </w:r>
          </w:p>
        </w:tc>
        <w:tc>
          <w:tcPr>
            <w:tcW w:w="1301" w:type="dxa"/>
            <w:gridSpan w:val="2"/>
            <w:vMerge w:val="restart"/>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15</w:t>
            </w:r>
          </w:p>
        </w:tc>
        <w:tc>
          <w:tcPr>
            <w:tcW w:w="2527" w:type="dxa"/>
            <w:gridSpan w:val="2"/>
            <w:shd w:val="clear" w:color="auto" w:fill="auto"/>
            <w:vAlign w:val="center"/>
          </w:tcPr>
          <w:p w:rsidR="00B641AA" w:rsidRPr="00621F54" w:rsidRDefault="00B641AA" w:rsidP="00B641AA">
            <w:pPr>
              <w:spacing w:after="0" w:line="240" w:lineRule="auto"/>
              <w:jc w:val="center"/>
              <w:rPr>
                <w:rFonts w:ascii="Arial" w:hAnsi="Arial" w:cs="Arial"/>
                <w:i/>
                <w:sz w:val="14"/>
                <w:szCs w:val="14"/>
                <w:lang w:val="en-GB"/>
              </w:rPr>
            </w:pPr>
            <w:r w:rsidRPr="00621F54">
              <w:rPr>
                <w:rFonts w:ascii="Arial" w:hAnsi="Arial" w:cs="Arial"/>
                <w:i/>
                <w:sz w:val="14"/>
                <w:szCs w:val="14"/>
                <w:lang w:val="en-GB"/>
              </w:rPr>
              <w:t>Written exam</w:t>
            </w:r>
          </w:p>
        </w:tc>
        <w:tc>
          <w:tcPr>
            <w:tcW w:w="1134" w:type="dxa"/>
            <w:gridSpan w:val="2"/>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Yes/No</w:t>
            </w:r>
          </w:p>
        </w:tc>
        <w:tc>
          <w:tcPr>
            <w:tcW w:w="1150" w:type="dxa"/>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40</w:t>
            </w:r>
          </w:p>
        </w:tc>
      </w:tr>
      <w:tr w:rsidR="00B641AA" w:rsidRPr="00621F54" w:rsidTr="003E5744">
        <w:trPr>
          <w:trHeight w:val="200"/>
        </w:trPr>
        <w:tc>
          <w:tcPr>
            <w:tcW w:w="2376" w:type="dxa"/>
            <w:gridSpan w:val="3"/>
            <w:vMerge/>
            <w:shd w:val="clear" w:color="auto" w:fill="auto"/>
            <w:vAlign w:val="center"/>
          </w:tcPr>
          <w:p w:rsidR="00B641AA" w:rsidRPr="00621F54" w:rsidRDefault="00B641AA" w:rsidP="00B641AA">
            <w:pPr>
              <w:spacing w:after="0" w:line="240" w:lineRule="auto"/>
              <w:rPr>
                <w:sz w:val="18"/>
                <w:szCs w:val="18"/>
                <w:lang w:val="en-GB"/>
              </w:rPr>
            </w:pPr>
          </w:p>
        </w:tc>
        <w:tc>
          <w:tcPr>
            <w:tcW w:w="1134" w:type="dxa"/>
            <w:vMerge/>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p>
        </w:tc>
        <w:tc>
          <w:tcPr>
            <w:tcW w:w="1301" w:type="dxa"/>
            <w:gridSpan w:val="2"/>
            <w:vMerge/>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p>
        </w:tc>
        <w:tc>
          <w:tcPr>
            <w:tcW w:w="2527" w:type="dxa"/>
            <w:gridSpan w:val="2"/>
            <w:shd w:val="clear" w:color="auto" w:fill="auto"/>
            <w:vAlign w:val="center"/>
          </w:tcPr>
          <w:p w:rsidR="00B641AA" w:rsidRPr="00621F54" w:rsidRDefault="00B641AA" w:rsidP="00B641AA">
            <w:pPr>
              <w:spacing w:after="0" w:line="240" w:lineRule="auto"/>
              <w:jc w:val="center"/>
              <w:rPr>
                <w:rFonts w:ascii="Arial" w:hAnsi="Arial" w:cs="Arial"/>
                <w:i/>
                <w:sz w:val="14"/>
                <w:szCs w:val="14"/>
                <w:lang w:val="en-GB"/>
              </w:rPr>
            </w:pPr>
            <w:r w:rsidRPr="00621F54">
              <w:rPr>
                <w:rFonts w:ascii="Arial" w:hAnsi="Arial" w:cs="Arial"/>
                <w:i/>
                <w:sz w:val="14"/>
                <w:szCs w:val="14"/>
                <w:lang w:val="en-GB"/>
              </w:rPr>
              <w:t>Oral part exam</w:t>
            </w:r>
          </w:p>
        </w:tc>
        <w:tc>
          <w:tcPr>
            <w:tcW w:w="1134" w:type="dxa"/>
            <w:gridSpan w:val="2"/>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Yes/No</w:t>
            </w:r>
          </w:p>
        </w:tc>
        <w:tc>
          <w:tcPr>
            <w:tcW w:w="1150" w:type="dxa"/>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30</w:t>
            </w:r>
          </w:p>
        </w:tc>
      </w:tr>
      <w:tr w:rsidR="00B641AA" w:rsidRPr="00621F54" w:rsidTr="003E5744">
        <w:tc>
          <w:tcPr>
            <w:tcW w:w="2376" w:type="dxa"/>
            <w:gridSpan w:val="3"/>
            <w:shd w:val="clear" w:color="auto" w:fill="auto"/>
            <w:vAlign w:val="center"/>
          </w:tcPr>
          <w:p w:rsidR="00B641AA" w:rsidRPr="00621F54" w:rsidRDefault="00B641AA" w:rsidP="00B641AA">
            <w:pPr>
              <w:spacing w:after="0" w:line="240" w:lineRule="auto"/>
              <w:rPr>
                <w:sz w:val="18"/>
                <w:szCs w:val="18"/>
                <w:lang w:val="en-GB"/>
              </w:rPr>
            </w:pPr>
            <w:r w:rsidRPr="00621F54">
              <w:rPr>
                <w:sz w:val="18"/>
                <w:szCs w:val="18"/>
                <w:lang w:val="en-GB"/>
              </w:rPr>
              <w:t>Practical work</w:t>
            </w:r>
          </w:p>
        </w:tc>
        <w:tc>
          <w:tcPr>
            <w:tcW w:w="1134" w:type="dxa"/>
            <w:shd w:val="clear" w:color="auto" w:fill="auto"/>
            <w:vAlign w:val="center"/>
          </w:tcPr>
          <w:p w:rsidR="00B641AA" w:rsidRPr="00621F54" w:rsidRDefault="00B641AA" w:rsidP="00B641AA">
            <w:pPr>
              <w:spacing w:after="0" w:line="240" w:lineRule="auto"/>
              <w:jc w:val="center"/>
              <w:rPr>
                <w:lang w:val="en-GB"/>
              </w:rPr>
            </w:pPr>
            <w:r w:rsidRPr="00621F54">
              <w:rPr>
                <w:rFonts w:ascii="Arial" w:hAnsi="Arial" w:cs="Arial"/>
                <w:sz w:val="16"/>
                <w:szCs w:val="16"/>
                <w:lang w:val="en-GB"/>
              </w:rPr>
              <w:t>Yes/No</w:t>
            </w:r>
          </w:p>
        </w:tc>
        <w:tc>
          <w:tcPr>
            <w:tcW w:w="1301" w:type="dxa"/>
            <w:gridSpan w:val="2"/>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15</w:t>
            </w:r>
          </w:p>
        </w:tc>
        <w:tc>
          <w:tcPr>
            <w:tcW w:w="4811" w:type="dxa"/>
            <w:gridSpan w:val="5"/>
            <w:vMerge w:val="restart"/>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p>
        </w:tc>
      </w:tr>
      <w:tr w:rsidR="00B641AA" w:rsidRPr="00621F54" w:rsidTr="003E5744">
        <w:tc>
          <w:tcPr>
            <w:tcW w:w="2376" w:type="dxa"/>
            <w:gridSpan w:val="3"/>
            <w:shd w:val="clear" w:color="auto" w:fill="auto"/>
            <w:vAlign w:val="center"/>
          </w:tcPr>
          <w:p w:rsidR="00B641AA" w:rsidRPr="00621F54" w:rsidRDefault="00B641AA" w:rsidP="00B641AA">
            <w:pPr>
              <w:spacing w:after="0" w:line="240" w:lineRule="auto"/>
              <w:rPr>
                <w:sz w:val="18"/>
                <w:szCs w:val="18"/>
                <w:lang w:val="en-GB"/>
              </w:rPr>
            </w:pPr>
            <w:r w:rsidRPr="00621F54">
              <w:rPr>
                <w:sz w:val="18"/>
                <w:szCs w:val="18"/>
                <w:lang w:val="en-GB"/>
              </w:rPr>
              <w:t>Test</w:t>
            </w:r>
          </w:p>
        </w:tc>
        <w:tc>
          <w:tcPr>
            <w:tcW w:w="1134" w:type="dxa"/>
            <w:shd w:val="clear" w:color="auto" w:fill="auto"/>
            <w:vAlign w:val="center"/>
          </w:tcPr>
          <w:p w:rsidR="00B641AA" w:rsidRPr="00621F54" w:rsidRDefault="00B641AA" w:rsidP="00B641AA">
            <w:pPr>
              <w:spacing w:after="0" w:line="240" w:lineRule="auto"/>
              <w:jc w:val="center"/>
              <w:rPr>
                <w:lang w:val="en-GB"/>
              </w:rPr>
            </w:pPr>
            <w:r w:rsidRPr="00621F54">
              <w:rPr>
                <w:rFonts w:ascii="Arial" w:hAnsi="Arial" w:cs="Arial"/>
                <w:sz w:val="16"/>
                <w:szCs w:val="16"/>
                <w:lang w:val="en-GB"/>
              </w:rPr>
              <w:t>Yes/No</w:t>
            </w:r>
          </w:p>
        </w:tc>
        <w:tc>
          <w:tcPr>
            <w:tcW w:w="1301" w:type="dxa"/>
            <w:gridSpan w:val="2"/>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p>
        </w:tc>
        <w:tc>
          <w:tcPr>
            <w:tcW w:w="4811" w:type="dxa"/>
            <w:gridSpan w:val="5"/>
            <w:vMerge/>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p>
        </w:tc>
      </w:tr>
      <w:tr w:rsidR="00B641AA" w:rsidRPr="00621F54" w:rsidTr="003E5744">
        <w:tc>
          <w:tcPr>
            <w:tcW w:w="2376" w:type="dxa"/>
            <w:gridSpan w:val="3"/>
            <w:tcBorders>
              <w:bottom w:val="single" w:sz="4" w:space="0" w:color="auto"/>
            </w:tcBorders>
            <w:shd w:val="clear" w:color="auto" w:fill="auto"/>
            <w:vAlign w:val="center"/>
          </w:tcPr>
          <w:p w:rsidR="00B641AA" w:rsidRPr="00621F54" w:rsidRDefault="00B641AA" w:rsidP="00B641AA">
            <w:pPr>
              <w:spacing w:after="0" w:line="240" w:lineRule="auto"/>
              <w:rPr>
                <w:rFonts w:ascii="Arial" w:hAnsi="Arial" w:cs="Arial"/>
                <w:sz w:val="16"/>
                <w:szCs w:val="16"/>
                <w:lang w:val="en-GB"/>
              </w:rPr>
            </w:pPr>
            <w:r w:rsidRPr="00621F54">
              <w:rPr>
                <w:rFonts w:ascii="Arial" w:hAnsi="Arial" w:cs="Arial"/>
                <w:sz w:val="16"/>
                <w:szCs w:val="16"/>
                <w:lang w:val="en-GB"/>
              </w:rPr>
              <w:t>Seminar paper</w:t>
            </w:r>
          </w:p>
        </w:tc>
        <w:tc>
          <w:tcPr>
            <w:tcW w:w="1134" w:type="dxa"/>
            <w:tcBorders>
              <w:bottom w:val="single" w:sz="4" w:space="0" w:color="auto"/>
            </w:tcBorders>
            <w:shd w:val="clear" w:color="auto" w:fill="auto"/>
            <w:vAlign w:val="center"/>
          </w:tcPr>
          <w:p w:rsidR="00B641AA" w:rsidRPr="00621F54" w:rsidRDefault="00B641AA" w:rsidP="00B641AA">
            <w:pPr>
              <w:spacing w:after="0" w:line="240" w:lineRule="auto"/>
              <w:jc w:val="center"/>
              <w:rPr>
                <w:lang w:val="en-GB"/>
              </w:rPr>
            </w:pPr>
            <w:r w:rsidRPr="00621F54">
              <w:rPr>
                <w:rFonts w:ascii="Arial" w:hAnsi="Arial" w:cs="Arial"/>
                <w:sz w:val="16"/>
                <w:szCs w:val="16"/>
                <w:lang w:val="en-GB"/>
              </w:rPr>
              <w:t>Yes/No</w:t>
            </w:r>
          </w:p>
        </w:tc>
        <w:tc>
          <w:tcPr>
            <w:tcW w:w="1301" w:type="dxa"/>
            <w:gridSpan w:val="2"/>
            <w:tcBorders>
              <w:bottom w:val="single" w:sz="4" w:space="0" w:color="auto"/>
            </w:tcBorders>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p>
        </w:tc>
        <w:tc>
          <w:tcPr>
            <w:tcW w:w="4811" w:type="dxa"/>
            <w:gridSpan w:val="5"/>
            <w:vMerge/>
            <w:tcBorders>
              <w:bottom w:val="single" w:sz="4" w:space="0" w:color="auto"/>
            </w:tcBorders>
            <w:shd w:val="clear" w:color="auto" w:fill="auto"/>
            <w:vAlign w:val="center"/>
          </w:tcPr>
          <w:p w:rsidR="00B641AA" w:rsidRPr="00621F54" w:rsidRDefault="00B641AA" w:rsidP="00B641AA">
            <w:pPr>
              <w:spacing w:after="0" w:line="240" w:lineRule="auto"/>
              <w:jc w:val="center"/>
              <w:rPr>
                <w:rFonts w:ascii="Arial" w:hAnsi="Arial" w:cs="Arial"/>
                <w:sz w:val="16"/>
                <w:szCs w:val="16"/>
                <w:lang w:val="en-GB"/>
              </w:rPr>
            </w:pPr>
          </w:p>
        </w:tc>
      </w:tr>
      <w:tr w:rsidR="00B641AA" w:rsidRPr="00621F54" w:rsidTr="003E5744">
        <w:tc>
          <w:tcPr>
            <w:tcW w:w="9622" w:type="dxa"/>
            <w:gridSpan w:val="11"/>
            <w:shd w:val="clear" w:color="auto" w:fill="C2D69B" w:themeFill="accent3" w:themeFillTint="99"/>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 xml:space="preserve">Literature </w:t>
            </w:r>
          </w:p>
        </w:tc>
      </w:tr>
      <w:tr w:rsidR="00B641AA" w:rsidRPr="00621F54" w:rsidTr="003E5744">
        <w:tc>
          <w:tcPr>
            <w:tcW w:w="675" w:type="dxa"/>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Ord.</w:t>
            </w:r>
          </w:p>
        </w:tc>
        <w:tc>
          <w:tcPr>
            <w:tcW w:w="1701" w:type="dxa"/>
            <w:gridSpan w:val="2"/>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Author</w:t>
            </w:r>
          </w:p>
        </w:tc>
        <w:tc>
          <w:tcPr>
            <w:tcW w:w="2435" w:type="dxa"/>
            <w:gridSpan w:val="3"/>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Title</w:t>
            </w:r>
          </w:p>
        </w:tc>
        <w:tc>
          <w:tcPr>
            <w:tcW w:w="3661" w:type="dxa"/>
            <w:gridSpan w:val="4"/>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Publisher</w:t>
            </w:r>
          </w:p>
        </w:tc>
        <w:tc>
          <w:tcPr>
            <w:tcW w:w="1150" w:type="dxa"/>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hAnsi="Arial" w:cs="Arial"/>
                <w:sz w:val="16"/>
                <w:szCs w:val="16"/>
                <w:lang w:val="en-GB"/>
              </w:rPr>
              <w:t>Year</w:t>
            </w:r>
          </w:p>
        </w:tc>
      </w:tr>
      <w:tr w:rsidR="00B641AA" w:rsidRPr="00621F54" w:rsidTr="003E5744">
        <w:tc>
          <w:tcPr>
            <w:tcW w:w="675" w:type="dxa"/>
            <w:vAlign w:val="center"/>
          </w:tcPr>
          <w:p w:rsidR="00B641AA" w:rsidRPr="00621F54" w:rsidRDefault="00B641AA" w:rsidP="00B641AA">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B641AA" w:rsidRPr="00621F54" w:rsidRDefault="00B641AA" w:rsidP="00B641AA">
            <w:pPr>
              <w:spacing w:after="0" w:line="240" w:lineRule="auto"/>
              <w:jc w:val="center"/>
              <w:rPr>
                <w:rFonts w:ascii="Arial" w:hAnsi="Arial" w:cs="Arial"/>
                <w:sz w:val="16"/>
                <w:szCs w:val="16"/>
                <w:lang w:val="en-GB"/>
              </w:rPr>
            </w:pPr>
            <w:proofErr w:type="spellStart"/>
            <w:r w:rsidRPr="00621F54">
              <w:rPr>
                <w:rFonts w:ascii="Arial" w:hAnsi="Arial" w:cs="Arial"/>
                <w:sz w:val="16"/>
                <w:szCs w:val="16"/>
                <w:lang w:val="en-GB"/>
              </w:rPr>
              <w:t>Popović</w:t>
            </w:r>
            <w:proofErr w:type="spellEnd"/>
            <w:r w:rsidRPr="00621F54">
              <w:rPr>
                <w:rFonts w:ascii="Arial" w:hAnsi="Arial" w:cs="Arial"/>
                <w:sz w:val="16"/>
                <w:szCs w:val="16"/>
                <w:lang w:val="en-GB"/>
              </w:rPr>
              <w:t>, D.</w:t>
            </w:r>
          </w:p>
        </w:tc>
        <w:tc>
          <w:tcPr>
            <w:tcW w:w="2435" w:type="dxa"/>
            <w:gridSpan w:val="3"/>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eastAsia="Times New Roman" w:hAnsi="Arial" w:cs="Arial"/>
                <w:bCs/>
                <w:sz w:val="16"/>
                <w:szCs w:val="16"/>
                <w:lang w:val="sr-Cyrl-CS"/>
              </w:rPr>
              <w:t xml:space="preserve">Nauka o porezima i poresko pravo </w:t>
            </w:r>
          </w:p>
        </w:tc>
        <w:tc>
          <w:tcPr>
            <w:tcW w:w="3661" w:type="dxa"/>
            <w:gridSpan w:val="4"/>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eastAsia="Times New Roman" w:hAnsi="Arial" w:cs="Arial"/>
                <w:bCs/>
                <w:sz w:val="16"/>
                <w:szCs w:val="16"/>
                <w:lang w:val="sr-Cyrl-CS"/>
              </w:rPr>
              <w:t>Savremena administracija, Beograd</w:t>
            </w:r>
          </w:p>
        </w:tc>
        <w:tc>
          <w:tcPr>
            <w:tcW w:w="1150" w:type="dxa"/>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eastAsia="Times New Roman" w:hAnsi="Arial" w:cs="Arial"/>
                <w:bCs/>
                <w:sz w:val="16"/>
                <w:szCs w:val="16"/>
                <w:lang w:val="sr-Cyrl-CS"/>
              </w:rPr>
              <w:t>1997</w:t>
            </w:r>
          </w:p>
        </w:tc>
      </w:tr>
      <w:tr w:rsidR="00B641AA" w:rsidRPr="00621F54" w:rsidTr="003E5744">
        <w:tc>
          <w:tcPr>
            <w:tcW w:w="675" w:type="dxa"/>
            <w:vAlign w:val="center"/>
          </w:tcPr>
          <w:p w:rsidR="00B641AA" w:rsidRPr="00621F54" w:rsidRDefault="00B641AA" w:rsidP="00B641AA">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eastAsia="Times New Roman" w:hAnsi="Arial" w:cs="Arial"/>
                <w:bCs/>
                <w:sz w:val="16"/>
                <w:szCs w:val="16"/>
                <w:lang w:val="sr-Cyrl-CS"/>
              </w:rPr>
              <w:t>Raičević, B.</w:t>
            </w:r>
          </w:p>
        </w:tc>
        <w:tc>
          <w:tcPr>
            <w:tcW w:w="2435" w:type="dxa"/>
            <w:gridSpan w:val="3"/>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eastAsia="Times New Roman" w:hAnsi="Arial" w:cs="Arial"/>
                <w:bCs/>
                <w:sz w:val="16"/>
                <w:szCs w:val="16"/>
                <w:lang w:val="sr-Cyrl-CS"/>
              </w:rPr>
              <w:t>Utvrđivanje i naplata javnih prihoda</w:t>
            </w:r>
          </w:p>
        </w:tc>
        <w:tc>
          <w:tcPr>
            <w:tcW w:w="3661" w:type="dxa"/>
            <w:gridSpan w:val="4"/>
            <w:vAlign w:val="center"/>
          </w:tcPr>
          <w:p w:rsidR="00B641AA" w:rsidRPr="00621F54" w:rsidRDefault="00B641AA" w:rsidP="00B641AA">
            <w:pPr>
              <w:spacing w:after="0" w:line="240" w:lineRule="auto"/>
              <w:jc w:val="center"/>
              <w:rPr>
                <w:rFonts w:ascii="Arial" w:hAnsi="Arial" w:cs="Arial"/>
                <w:sz w:val="16"/>
                <w:szCs w:val="16"/>
              </w:rPr>
            </w:pPr>
            <w:r w:rsidRPr="00621F54">
              <w:rPr>
                <w:rFonts w:ascii="Arial" w:eastAsia="Times New Roman" w:hAnsi="Arial" w:cs="Arial"/>
                <w:bCs/>
                <w:sz w:val="16"/>
                <w:szCs w:val="16"/>
                <w:lang w:val="sr-Cyrl-CS"/>
              </w:rPr>
              <w:t>Viša poslovna škola, Beograd</w:t>
            </w:r>
          </w:p>
        </w:tc>
        <w:tc>
          <w:tcPr>
            <w:tcW w:w="1150" w:type="dxa"/>
            <w:vAlign w:val="center"/>
          </w:tcPr>
          <w:p w:rsidR="00B641AA" w:rsidRPr="00621F54" w:rsidRDefault="00B641AA" w:rsidP="00B641AA">
            <w:pPr>
              <w:spacing w:after="0" w:line="240" w:lineRule="auto"/>
              <w:jc w:val="center"/>
              <w:rPr>
                <w:rFonts w:ascii="Arial" w:hAnsi="Arial" w:cs="Arial"/>
                <w:sz w:val="16"/>
                <w:szCs w:val="16"/>
                <w:lang w:val="en-GB"/>
              </w:rPr>
            </w:pPr>
            <w:r w:rsidRPr="00621F54">
              <w:rPr>
                <w:rFonts w:ascii="Arial" w:eastAsia="Times New Roman" w:hAnsi="Arial" w:cs="Arial"/>
                <w:bCs/>
                <w:sz w:val="16"/>
                <w:szCs w:val="16"/>
                <w:lang w:val="sr-Cyrl-CS"/>
              </w:rPr>
              <w:t>1977</w:t>
            </w:r>
          </w:p>
        </w:tc>
      </w:tr>
      <w:tr w:rsidR="00B641AA" w:rsidRPr="00621F54" w:rsidTr="003E5744">
        <w:tc>
          <w:tcPr>
            <w:tcW w:w="675" w:type="dxa"/>
            <w:vAlign w:val="center"/>
          </w:tcPr>
          <w:p w:rsidR="00B641AA" w:rsidRPr="00621F54" w:rsidRDefault="00B641AA" w:rsidP="00B641AA">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B641AA" w:rsidRPr="00621F54" w:rsidRDefault="00B641AA" w:rsidP="00B641AA">
            <w:pPr>
              <w:spacing w:after="0" w:line="240" w:lineRule="auto"/>
              <w:jc w:val="center"/>
              <w:rPr>
                <w:rFonts w:ascii="Arial" w:eastAsia="Times New Roman" w:hAnsi="Arial" w:cs="Arial"/>
                <w:bCs/>
                <w:sz w:val="16"/>
                <w:szCs w:val="16"/>
                <w:lang w:val="sr-Cyrl-CS"/>
              </w:rPr>
            </w:pPr>
            <w:proofErr w:type="spellStart"/>
            <w:r w:rsidRPr="00621F54">
              <w:rPr>
                <w:rFonts w:ascii="Arial" w:eastAsia="Times New Roman" w:hAnsi="Arial" w:cs="Arial"/>
                <w:bCs/>
                <w:sz w:val="16"/>
                <w:szCs w:val="16"/>
                <w:lang w:val="sr-Cyrl-CS"/>
              </w:rPr>
              <w:t>Pušara</w:t>
            </w:r>
            <w:proofErr w:type="spellEnd"/>
            <w:r w:rsidRPr="00621F54">
              <w:rPr>
                <w:rFonts w:ascii="Arial" w:eastAsia="Times New Roman" w:hAnsi="Arial" w:cs="Arial"/>
                <w:bCs/>
                <w:sz w:val="16"/>
                <w:szCs w:val="16"/>
                <w:lang w:val="sr-Cyrl-CS"/>
              </w:rPr>
              <w:t>, K.</w:t>
            </w:r>
          </w:p>
        </w:tc>
        <w:tc>
          <w:tcPr>
            <w:tcW w:w="2435" w:type="dxa"/>
            <w:gridSpan w:val="3"/>
            <w:vAlign w:val="center"/>
          </w:tcPr>
          <w:p w:rsidR="00B641AA" w:rsidRPr="00621F54" w:rsidRDefault="00B641AA" w:rsidP="00B641AA">
            <w:pPr>
              <w:spacing w:after="0" w:line="240" w:lineRule="auto"/>
              <w:jc w:val="center"/>
              <w:rPr>
                <w:rFonts w:ascii="Arial" w:eastAsia="Times New Roman" w:hAnsi="Arial" w:cs="Arial"/>
                <w:bCs/>
                <w:sz w:val="16"/>
                <w:szCs w:val="16"/>
                <w:lang w:val="sr-Cyrl-CS"/>
              </w:rPr>
            </w:pPr>
            <w:r w:rsidRPr="00621F54">
              <w:rPr>
                <w:rFonts w:ascii="Arial" w:eastAsia="Times New Roman" w:hAnsi="Arial" w:cs="Arial"/>
                <w:bCs/>
                <w:sz w:val="16"/>
                <w:szCs w:val="16"/>
                <w:lang w:val="sr-Cyrl-CS"/>
              </w:rPr>
              <w:t>Međunarodne finansije</w:t>
            </w:r>
          </w:p>
        </w:tc>
        <w:tc>
          <w:tcPr>
            <w:tcW w:w="3661" w:type="dxa"/>
            <w:gridSpan w:val="4"/>
            <w:vAlign w:val="center"/>
          </w:tcPr>
          <w:p w:rsidR="00B641AA" w:rsidRPr="00621F54" w:rsidRDefault="00B641AA" w:rsidP="00B641AA">
            <w:pPr>
              <w:spacing w:after="0" w:line="240" w:lineRule="auto"/>
              <w:jc w:val="center"/>
              <w:rPr>
                <w:rFonts w:ascii="Arial" w:eastAsia="Times New Roman" w:hAnsi="Arial" w:cs="Arial"/>
                <w:bCs/>
                <w:sz w:val="16"/>
                <w:szCs w:val="16"/>
                <w:lang w:val="sr-Cyrl-CS"/>
              </w:rPr>
            </w:pPr>
            <w:proofErr w:type="spellStart"/>
            <w:r w:rsidRPr="00621F54">
              <w:rPr>
                <w:rFonts w:ascii="Arial" w:eastAsia="Times New Roman" w:hAnsi="Arial" w:cs="Arial"/>
                <w:bCs/>
                <w:sz w:val="16"/>
                <w:szCs w:val="16"/>
                <w:lang w:val="sr-Cyrl-CS"/>
              </w:rPr>
              <w:t>Velzal</w:t>
            </w:r>
            <w:proofErr w:type="spellEnd"/>
            <w:r w:rsidRPr="00621F54">
              <w:rPr>
                <w:rFonts w:ascii="Arial" w:eastAsia="Times New Roman" w:hAnsi="Arial" w:cs="Arial"/>
                <w:bCs/>
                <w:sz w:val="16"/>
                <w:szCs w:val="16"/>
                <w:lang w:val="sr-Cyrl-CS"/>
              </w:rPr>
              <w:t xml:space="preserve"> </w:t>
            </w:r>
            <w:proofErr w:type="spellStart"/>
            <w:r w:rsidRPr="00621F54">
              <w:rPr>
                <w:rFonts w:ascii="Arial" w:eastAsia="Times New Roman" w:hAnsi="Arial" w:cs="Arial"/>
                <w:bCs/>
                <w:sz w:val="16"/>
                <w:szCs w:val="16"/>
                <w:lang w:val="sr-Cyrl-CS"/>
              </w:rPr>
              <w:t>press</w:t>
            </w:r>
            <w:proofErr w:type="spellEnd"/>
            <w:r w:rsidRPr="00621F54">
              <w:rPr>
                <w:rFonts w:ascii="Arial" w:eastAsia="Times New Roman" w:hAnsi="Arial" w:cs="Arial"/>
                <w:bCs/>
                <w:sz w:val="16"/>
                <w:szCs w:val="16"/>
                <w:lang w:val="sr-Cyrl-CS"/>
              </w:rPr>
              <w:t>, Beograd</w:t>
            </w:r>
          </w:p>
        </w:tc>
        <w:tc>
          <w:tcPr>
            <w:tcW w:w="1150" w:type="dxa"/>
            <w:vAlign w:val="center"/>
          </w:tcPr>
          <w:p w:rsidR="00B641AA" w:rsidRPr="00621F54" w:rsidRDefault="00B641AA" w:rsidP="00B641AA">
            <w:pPr>
              <w:spacing w:after="0" w:line="240" w:lineRule="auto"/>
              <w:jc w:val="center"/>
              <w:rPr>
                <w:rFonts w:ascii="Arial" w:eastAsia="Times New Roman" w:hAnsi="Arial" w:cs="Arial"/>
                <w:bCs/>
                <w:sz w:val="16"/>
                <w:szCs w:val="16"/>
                <w:lang w:val="sr-Cyrl-CS"/>
              </w:rPr>
            </w:pPr>
            <w:r w:rsidRPr="00621F54">
              <w:rPr>
                <w:rFonts w:ascii="Arial" w:eastAsia="Times New Roman" w:hAnsi="Arial" w:cs="Arial"/>
                <w:bCs/>
                <w:sz w:val="16"/>
                <w:szCs w:val="16"/>
                <w:lang w:val="sr-Cyrl-CS"/>
              </w:rPr>
              <w:t>2000</w:t>
            </w:r>
          </w:p>
        </w:tc>
      </w:tr>
      <w:tr w:rsidR="00B641AA" w:rsidRPr="00621F54" w:rsidTr="003E5744">
        <w:tc>
          <w:tcPr>
            <w:tcW w:w="675" w:type="dxa"/>
            <w:vAlign w:val="center"/>
          </w:tcPr>
          <w:p w:rsidR="00B641AA" w:rsidRPr="00621F54" w:rsidRDefault="00B641AA" w:rsidP="00B641AA">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B641AA" w:rsidRPr="00621F54" w:rsidRDefault="00B641AA" w:rsidP="00B641AA">
            <w:pPr>
              <w:spacing w:after="0" w:line="240" w:lineRule="auto"/>
              <w:jc w:val="center"/>
              <w:rPr>
                <w:rFonts w:ascii="Arial" w:eastAsia="Times New Roman" w:hAnsi="Arial" w:cs="Arial"/>
                <w:bCs/>
                <w:sz w:val="16"/>
                <w:szCs w:val="16"/>
              </w:rPr>
            </w:pPr>
            <w:proofErr w:type="spellStart"/>
            <w:r w:rsidRPr="00621F54">
              <w:rPr>
                <w:rFonts w:ascii="Arial" w:eastAsia="Times New Roman" w:hAnsi="Arial" w:cs="Arial"/>
                <w:bCs/>
                <w:sz w:val="16"/>
                <w:szCs w:val="16"/>
                <w:lang w:val="sr-Cyrl-CS"/>
              </w:rPr>
              <w:t>Dougals</w:t>
            </w:r>
            <w:proofErr w:type="spellEnd"/>
            <w:r w:rsidRPr="00621F54">
              <w:rPr>
                <w:rFonts w:ascii="Arial" w:eastAsia="Times New Roman" w:hAnsi="Arial" w:cs="Arial"/>
                <w:bCs/>
                <w:sz w:val="16"/>
                <w:szCs w:val="16"/>
                <w:lang w:val="sr-Cyrl-CS"/>
              </w:rPr>
              <w:t xml:space="preserve"> R. </w:t>
            </w:r>
            <w:proofErr w:type="spellStart"/>
            <w:r w:rsidRPr="00621F54">
              <w:rPr>
                <w:rFonts w:ascii="Arial" w:eastAsia="Times New Roman" w:hAnsi="Arial" w:cs="Arial"/>
                <w:bCs/>
                <w:sz w:val="16"/>
                <w:szCs w:val="16"/>
                <w:lang w:val="sr-Cyrl-CS"/>
              </w:rPr>
              <w:t>Emery</w:t>
            </w:r>
            <w:proofErr w:type="spellEnd"/>
            <w:r w:rsidRPr="00621F54">
              <w:rPr>
                <w:rFonts w:ascii="Arial" w:eastAsia="Times New Roman" w:hAnsi="Arial" w:cs="Arial"/>
                <w:bCs/>
                <w:sz w:val="16"/>
                <w:szCs w:val="16"/>
                <w:lang w:val="sr-Cyrl-CS"/>
              </w:rPr>
              <w:t xml:space="preserve">, John D. </w:t>
            </w:r>
            <w:proofErr w:type="spellStart"/>
            <w:r w:rsidRPr="00621F54">
              <w:rPr>
                <w:rFonts w:ascii="Arial" w:eastAsia="Times New Roman" w:hAnsi="Arial" w:cs="Arial"/>
                <w:bCs/>
                <w:sz w:val="16"/>
                <w:szCs w:val="16"/>
                <w:lang w:val="sr-Cyrl-CS"/>
              </w:rPr>
              <w:t>Finnerty</w:t>
            </w:r>
            <w:proofErr w:type="spellEnd"/>
            <w:r w:rsidRPr="00621F54">
              <w:rPr>
                <w:rFonts w:ascii="Arial" w:eastAsia="Times New Roman" w:hAnsi="Arial" w:cs="Arial"/>
                <w:bCs/>
                <w:sz w:val="16"/>
                <w:szCs w:val="16"/>
                <w:lang w:val="sr-Cyrl-CS"/>
              </w:rPr>
              <w:t>.</w:t>
            </w:r>
          </w:p>
        </w:tc>
        <w:tc>
          <w:tcPr>
            <w:tcW w:w="2435" w:type="dxa"/>
            <w:gridSpan w:val="3"/>
            <w:vAlign w:val="center"/>
          </w:tcPr>
          <w:p w:rsidR="00B641AA" w:rsidRPr="00621F54" w:rsidRDefault="00B641AA" w:rsidP="00B641AA">
            <w:pPr>
              <w:spacing w:after="0" w:line="240" w:lineRule="auto"/>
              <w:jc w:val="center"/>
              <w:rPr>
                <w:rFonts w:ascii="Arial" w:eastAsia="Times New Roman" w:hAnsi="Arial" w:cs="Arial"/>
                <w:bCs/>
                <w:sz w:val="16"/>
                <w:szCs w:val="16"/>
                <w:lang w:val="sr-Cyrl-CS"/>
              </w:rPr>
            </w:pPr>
            <w:proofErr w:type="spellStart"/>
            <w:r w:rsidRPr="00621F54">
              <w:rPr>
                <w:rFonts w:ascii="Arial" w:eastAsia="Times New Roman" w:hAnsi="Arial" w:cs="Arial"/>
                <w:bCs/>
                <w:sz w:val="16"/>
                <w:szCs w:val="16"/>
                <w:lang w:val="sr-Cyrl-CS"/>
              </w:rPr>
              <w:t>Corporate</w:t>
            </w:r>
            <w:proofErr w:type="spellEnd"/>
            <w:r w:rsidRPr="00621F54">
              <w:rPr>
                <w:rFonts w:ascii="Arial" w:eastAsia="Times New Roman" w:hAnsi="Arial" w:cs="Arial"/>
                <w:bCs/>
                <w:sz w:val="16"/>
                <w:szCs w:val="16"/>
                <w:lang w:val="sr-Cyrl-CS"/>
              </w:rPr>
              <w:t xml:space="preserve"> </w:t>
            </w:r>
            <w:proofErr w:type="spellStart"/>
            <w:r w:rsidRPr="00621F54">
              <w:rPr>
                <w:rFonts w:ascii="Arial" w:eastAsia="Times New Roman" w:hAnsi="Arial" w:cs="Arial"/>
                <w:bCs/>
                <w:sz w:val="16"/>
                <w:szCs w:val="16"/>
                <w:lang w:val="sr-Cyrl-CS"/>
              </w:rPr>
              <w:t>financial</w:t>
            </w:r>
            <w:proofErr w:type="spellEnd"/>
            <w:r w:rsidRPr="00621F54">
              <w:rPr>
                <w:rFonts w:ascii="Arial" w:eastAsia="Times New Roman" w:hAnsi="Arial" w:cs="Arial"/>
                <w:bCs/>
                <w:sz w:val="16"/>
                <w:szCs w:val="16"/>
                <w:lang w:val="sr-Cyrl-CS"/>
              </w:rPr>
              <w:t xml:space="preserve"> </w:t>
            </w:r>
            <w:proofErr w:type="spellStart"/>
            <w:r w:rsidRPr="00621F54">
              <w:rPr>
                <w:rFonts w:ascii="Arial" w:eastAsia="Times New Roman" w:hAnsi="Arial" w:cs="Arial"/>
                <w:bCs/>
                <w:sz w:val="16"/>
                <w:szCs w:val="16"/>
                <w:lang w:val="sr-Cyrl-CS"/>
              </w:rPr>
              <w:t>managment</w:t>
            </w:r>
            <w:proofErr w:type="spellEnd"/>
          </w:p>
        </w:tc>
        <w:tc>
          <w:tcPr>
            <w:tcW w:w="3661" w:type="dxa"/>
            <w:gridSpan w:val="4"/>
            <w:vAlign w:val="center"/>
          </w:tcPr>
          <w:p w:rsidR="00B641AA" w:rsidRPr="00621F54" w:rsidRDefault="00B641AA" w:rsidP="00B641AA">
            <w:pPr>
              <w:spacing w:after="0" w:line="240" w:lineRule="auto"/>
              <w:ind w:left="720"/>
              <w:rPr>
                <w:rFonts w:ascii="Arial" w:eastAsia="Times New Roman" w:hAnsi="Arial" w:cs="Arial"/>
                <w:bCs/>
                <w:sz w:val="16"/>
                <w:szCs w:val="16"/>
              </w:rPr>
            </w:pPr>
            <w:proofErr w:type="spellStart"/>
            <w:r w:rsidRPr="00621F54">
              <w:rPr>
                <w:rFonts w:ascii="Arial" w:eastAsia="Times New Roman" w:hAnsi="Arial" w:cs="Arial"/>
                <w:bCs/>
                <w:sz w:val="16"/>
                <w:szCs w:val="16"/>
                <w:lang w:val="sr-Cyrl-CS"/>
              </w:rPr>
              <w:t>Prentice</w:t>
            </w:r>
            <w:proofErr w:type="spellEnd"/>
            <w:r w:rsidRPr="00621F54">
              <w:rPr>
                <w:rFonts w:ascii="Arial" w:eastAsia="Times New Roman" w:hAnsi="Arial" w:cs="Arial"/>
                <w:bCs/>
                <w:sz w:val="16"/>
                <w:szCs w:val="16"/>
                <w:lang w:val="sr-Cyrl-CS"/>
              </w:rPr>
              <w:t xml:space="preserve"> </w:t>
            </w:r>
            <w:proofErr w:type="spellStart"/>
            <w:r w:rsidRPr="00621F54">
              <w:rPr>
                <w:rFonts w:ascii="Arial" w:eastAsia="Times New Roman" w:hAnsi="Arial" w:cs="Arial"/>
                <w:bCs/>
                <w:sz w:val="16"/>
                <w:szCs w:val="16"/>
                <w:lang w:val="sr-Cyrl-CS"/>
              </w:rPr>
              <w:t>hall</w:t>
            </w:r>
            <w:proofErr w:type="spellEnd"/>
            <w:r w:rsidRPr="00621F54">
              <w:rPr>
                <w:rFonts w:ascii="Arial" w:eastAsia="Times New Roman" w:hAnsi="Arial" w:cs="Arial"/>
                <w:bCs/>
                <w:sz w:val="16"/>
                <w:szCs w:val="16"/>
                <w:lang w:val="sr-Cyrl-CS"/>
              </w:rPr>
              <w:t xml:space="preserve">, </w:t>
            </w:r>
            <w:proofErr w:type="spellStart"/>
            <w:r w:rsidRPr="00621F54">
              <w:rPr>
                <w:rFonts w:ascii="Arial" w:eastAsia="Times New Roman" w:hAnsi="Arial" w:cs="Arial"/>
                <w:bCs/>
                <w:sz w:val="16"/>
                <w:szCs w:val="16"/>
                <w:lang w:val="sr-Cyrl-CS"/>
              </w:rPr>
              <w:t>UperSadde</w:t>
            </w:r>
            <w:proofErr w:type="spellEnd"/>
            <w:r w:rsidRPr="00621F54">
              <w:rPr>
                <w:rFonts w:ascii="Arial" w:eastAsia="Times New Roman" w:hAnsi="Arial" w:cs="Arial"/>
                <w:bCs/>
                <w:sz w:val="16"/>
                <w:szCs w:val="16"/>
                <w:lang w:val="sr-Cyrl-CS"/>
              </w:rPr>
              <w:t xml:space="preserve"> </w:t>
            </w:r>
            <w:proofErr w:type="spellStart"/>
            <w:r w:rsidRPr="00621F54">
              <w:rPr>
                <w:rFonts w:ascii="Arial" w:eastAsia="Times New Roman" w:hAnsi="Arial" w:cs="Arial"/>
                <w:bCs/>
                <w:sz w:val="16"/>
                <w:szCs w:val="16"/>
                <w:lang w:val="sr-Cyrl-CS"/>
              </w:rPr>
              <w:t>River</w:t>
            </w:r>
            <w:proofErr w:type="spellEnd"/>
          </w:p>
        </w:tc>
        <w:tc>
          <w:tcPr>
            <w:tcW w:w="1150" w:type="dxa"/>
            <w:vAlign w:val="center"/>
          </w:tcPr>
          <w:p w:rsidR="00B641AA" w:rsidRPr="00621F54" w:rsidRDefault="00B641AA" w:rsidP="00B641AA">
            <w:pPr>
              <w:spacing w:after="0" w:line="240" w:lineRule="auto"/>
              <w:jc w:val="center"/>
              <w:rPr>
                <w:rFonts w:ascii="Arial" w:eastAsia="Times New Roman" w:hAnsi="Arial" w:cs="Arial"/>
                <w:bCs/>
                <w:sz w:val="16"/>
                <w:szCs w:val="16"/>
                <w:lang w:val="sr-Cyrl-CS"/>
              </w:rPr>
            </w:pPr>
            <w:r w:rsidRPr="00621F54">
              <w:rPr>
                <w:rFonts w:ascii="Arial" w:eastAsia="Times New Roman" w:hAnsi="Arial" w:cs="Arial"/>
                <w:bCs/>
                <w:sz w:val="16"/>
                <w:szCs w:val="16"/>
                <w:lang w:val="sr-Cyrl-CS"/>
              </w:rPr>
              <w:t>1998</w:t>
            </w:r>
          </w:p>
        </w:tc>
      </w:tr>
      <w:tr w:rsidR="00B641AA" w:rsidRPr="00621F54" w:rsidTr="003E5744">
        <w:tc>
          <w:tcPr>
            <w:tcW w:w="675" w:type="dxa"/>
            <w:vAlign w:val="center"/>
          </w:tcPr>
          <w:p w:rsidR="00B641AA" w:rsidRPr="00621F54" w:rsidRDefault="00B641AA" w:rsidP="00B641AA">
            <w:pPr>
              <w:numPr>
                <w:ilvl w:val="0"/>
                <w:numId w:val="4"/>
              </w:numPr>
              <w:spacing w:after="0" w:line="240" w:lineRule="auto"/>
              <w:contextualSpacing/>
              <w:jc w:val="center"/>
              <w:rPr>
                <w:rFonts w:ascii="Arial" w:hAnsi="Arial" w:cs="Arial"/>
                <w:sz w:val="16"/>
                <w:szCs w:val="16"/>
                <w:lang w:val="en-GB"/>
              </w:rPr>
            </w:pPr>
          </w:p>
        </w:tc>
        <w:tc>
          <w:tcPr>
            <w:tcW w:w="1701" w:type="dxa"/>
            <w:gridSpan w:val="2"/>
            <w:vAlign w:val="center"/>
          </w:tcPr>
          <w:p w:rsidR="00B641AA" w:rsidRPr="00621F54" w:rsidRDefault="00B641AA" w:rsidP="00B641AA">
            <w:pPr>
              <w:spacing w:after="0" w:line="240" w:lineRule="auto"/>
              <w:jc w:val="center"/>
              <w:rPr>
                <w:rFonts w:ascii="Arial" w:eastAsia="Times New Roman" w:hAnsi="Arial" w:cs="Arial"/>
                <w:bCs/>
                <w:sz w:val="16"/>
                <w:szCs w:val="16"/>
                <w:lang w:val="sr-Cyrl-CS"/>
              </w:rPr>
            </w:pPr>
            <w:proofErr w:type="spellStart"/>
            <w:r w:rsidRPr="00621F54">
              <w:rPr>
                <w:rFonts w:ascii="Arial" w:eastAsia="Times New Roman" w:hAnsi="Arial" w:cs="Arial"/>
                <w:bCs/>
                <w:sz w:val="16"/>
                <w:szCs w:val="16"/>
                <w:lang w:val="sr-Cyrl-CS"/>
              </w:rPr>
              <w:t>Schneeberger</w:t>
            </w:r>
            <w:proofErr w:type="spellEnd"/>
            <w:r w:rsidRPr="00621F54">
              <w:rPr>
                <w:rFonts w:ascii="Arial" w:eastAsia="Times New Roman" w:hAnsi="Arial" w:cs="Arial"/>
                <w:bCs/>
                <w:sz w:val="16"/>
                <w:szCs w:val="16"/>
                <w:lang w:val="sr-Cyrl-CS"/>
              </w:rPr>
              <w:t xml:space="preserve">, K, </w:t>
            </w:r>
            <w:proofErr w:type="spellStart"/>
            <w:r w:rsidRPr="00621F54">
              <w:rPr>
                <w:rFonts w:ascii="Arial" w:eastAsia="Times New Roman" w:hAnsi="Arial" w:cs="Arial"/>
                <w:bCs/>
                <w:sz w:val="16"/>
                <w:szCs w:val="16"/>
                <w:lang w:val="sr-Cyrl-CS"/>
              </w:rPr>
              <w:t>Osborn</w:t>
            </w:r>
            <w:proofErr w:type="spellEnd"/>
            <w:r w:rsidRPr="00621F54">
              <w:rPr>
                <w:rFonts w:ascii="Arial" w:eastAsia="Times New Roman" w:hAnsi="Arial" w:cs="Arial"/>
                <w:bCs/>
                <w:sz w:val="16"/>
                <w:szCs w:val="16"/>
                <w:lang w:val="sr-Cyrl-CS"/>
              </w:rPr>
              <w:t>, D, Ljutić, B.</w:t>
            </w:r>
          </w:p>
        </w:tc>
        <w:tc>
          <w:tcPr>
            <w:tcW w:w="2435" w:type="dxa"/>
            <w:gridSpan w:val="3"/>
            <w:vAlign w:val="center"/>
          </w:tcPr>
          <w:p w:rsidR="00B641AA" w:rsidRPr="00621F54" w:rsidRDefault="00B641AA" w:rsidP="00B641AA">
            <w:pPr>
              <w:spacing w:after="0" w:line="240" w:lineRule="auto"/>
              <w:jc w:val="center"/>
              <w:rPr>
                <w:rFonts w:ascii="Arial" w:eastAsia="Times New Roman" w:hAnsi="Arial" w:cs="Arial"/>
                <w:bCs/>
                <w:sz w:val="16"/>
                <w:szCs w:val="16"/>
                <w:lang w:val="sr-Cyrl-CS"/>
              </w:rPr>
            </w:pPr>
            <w:r w:rsidRPr="00621F54">
              <w:rPr>
                <w:rFonts w:ascii="Arial" w:eastAsia="Times New Roman" w:hAnsi="Arial" w:cs="Arial"/>
                <w:bCs/>
                <w:sz w:val="16"/>
                <w:szCs w:val="16"/>
                <w:lang w:val="sr-Cyrl-CS"/>
              </w:rPr>
              <w:t>Finansijsko planiranje u agrobiznisu</w:t>
            </w:r>
          </w:p>
        </w:tc>
        <w:tc>
          <w:tcPr>
            <w:tcW w:w="3661" w:type="dxa"/>
            <w:gridSpan w:val="4"/>
            <w:vAlign w:val="center"/>
          </w:tcPr>
          <w:p w:rsidR="00B641AA" w:rsidRPr="00621F54" w:rsidRDefault="00B641AA" w:rsidP="00B641AA">
            <w:pPr>
              <w:spacing w:after="0" w:line="240" w:lineRule="auto"/>
              <w:jc w:val="center"/>
              <w:rPr>
                <w:rFonts w:ascii="Arial" w:eastAsia="Times New Roman" w:hAnsi="Arial" w:cs="Arial"/>
                <w:bCs/>
                <w:sz w:val="16"/>
                <w:szCs w:val="16"/>
              </w:rPr>
            </w:pPr>
            <w:r w:rsidRPr="00621F54">
              <w:rPr>
                <w:rFonts w:ascii="Arial" w:eastAsia="Times New Roman" w:hAnsi="Arial" w:cs="Arial"/>
                <w:bCs/>
                <w:sz w:val="16"/>
                <w:szCs w:val="16"/>
                <w:lang w:val="sr-Cyrl-CS"/>
              </w:rPr>
              <w:t xml:space="preserve">Panda </w:t>
            </w:r>
            <w:proofErr w:type="spellStart"/>
            <w:r w:rsidRPr="00621F54">
              <w:rPr>
                <w:rFonts w:ascii="Arial" w:eastAsia="Times New Roman" w:hAnsi="Arial" w:cs="Arial"/>
                <w:bCs/>
                <w:sz w:val="16"/>
                <w:szCs w:val="16"/>
                <w:lang w:val="sr-Cyrl-CS"/>
              </w:rPr>
              <w:t>graf</w:t>
            </w:r>
            <w:proofErr w:type="spellEnd"/>
            <w:r w:rsidRPr="00621F54">
              <w:rPr>
                <w:rFonts w:ascii="Arial" w:eastAsia="Times New Roman" w:hAnsi="Arial" w:cs="Arial"/>
                <w:bCs/>
                <w:sz w:val="16"/>
                <w:szCs w:val="16"/>
                <w:lang w:val="sr-Cyrl-CS"/>
              </w:rPr>
              <w:t>, Beograd</w:t>
            </w:r>
          </w:p>
        </w:tc>
        <w:tc>
          <w:tcPr>
            <w:tcW w:w="1150" w:type="dxa"/>
            <w:vAlign w:val="center"/>
          </w:tcPr>
          <w:p w:rsidR="00B641AA" w:rsidRPr="00621F54" w:rsidRDefault="00B641AA" w:rsidP="00B641AA">
            <w:pPr>
              <w:spacing w:after="0" w:line="240" w:lineRule="auto"/>
              <w:jc w:val="center"/>
              <w:rPr>
                <w:rFonts w:ascii="Arial" w:eastAsia="Times New Roman" w:hAnsi="Arial" w:cs="Arial"/>
                <w:bCs/>
                <w:sz w:val="16"/>
                <w:szCs w:val="16"/>
                <w:lang w:val="sr-Cyrl-CS"/>
              </w:rPr>
            </w:pPr>
            <w:r w:rsidRPr="00621F54">
              <w:rPr>
                <w:rFonts w:ascii="Arial" w:eastAsia="Times New Roman" w:hAnsi="Arial" w:cs="Arial"/>
                <w:bCs/>
                <w:sz w:val="16"/>
                <w:szCs w:val="16"/>
                <w:lang w:val="sr-Cyrl-CS"/>
              </w:rPr>
              <w:t>1995</w:t>
            </w:r>
          </w:p>
        </w:tc>
      </w:tr>
    </w:tbl>
    <w:p w:rsidR="00B641AA" w:rsidRDefault="00B641AA" w:rsidP="00B641AA"/>
    <w:p w:rsidR="00474BCC" w:rsidRDefault="00474BCC" w:rsidP="00B641AA">
      <w:pPr>
        <w:jc w:val="both"/>
      </w:pPr>
    </w:p>
    <w:sectPr w:rsidR="00474BCC" w:rsidSect="00474BCC">
      <w:head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B641AA" w:rsidP="003E5744">
          <w:pPr>
            <w:spacing w:after="0" w:line="240" w:lineRule="auto"/>
            <w:jc w:val="center"/>
          </w:pPr>
          <w:r w:rsidRPr="00617B42">
            <w:rPr>
              <w:noProof/>
            </w:rPr>
            <w:drawing>
              <wp:inline distT="0" distB="0" distL="0" distR="0">
                <wp:extent cx="836195" cy="782053"/>
                <wp:effectExtent l="0" t="0" r="0" b="0"/>
                <wp:docPr id="17"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B641AA"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B641AA" w:rsidP="003E5744">
          <w:pPr>
            <w:spacing w:after="0" w:line="240" w:lineRule="auto"/>
            <w:jc w:val="center"/>
            <w:rPr>
              <w:rFonts w:ascii="Arial" w:hAnsi="Arial" w:cs="Arial"/>
              <w:sz w:val="16"/>
              <w:szCs w:val="16"/>
            </w:rPr>
          </w:pPr>
        </w:p>
        <w:p w:rsidR="007A6AC5" w:rsidRPr="00617B42" w:rsidRDefault="00B641AA"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B641AA" w:rsidP="003E5744">
          <w:pPr>
            <w:spacing w:after="0" w:line="240" w:lineRule="auto"/>
            <w:jc w:val="center"/>
          </w:pPr>
          <w:r w:rsidRPr="00617B42">
            <w:rPr>
              <w:noProof/>
            </w:rPr>
            <w:drawing>
              <wp:inline distT="0" distB="0" distL="0" distR="0">
                <wp:extent cx="677739" cy="661736"/>
                <wp:effectExtent l="19050" t="0" r="8061" b="0"/>
                <wp:docPr id="18"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B641AA"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B641AA"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B641AA" w:rsidP="003E5744">
          <w:pPr>
            <w:spacing w:after="0" w:line="240" w:lineRule="auto"/>
            <w:jc w:val="center"/>
          </w:pPr>
        </w:p>
        <w:p w:rsidR="007A6AC5" w:rsidRPr="00617B42" w:rsidRDefault="00B641AA"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B641AA"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B641AA"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B641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B76BB"/>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763FC0"/>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B0EAA"/>
    <w:multiLevelType w:val="hybridMultilevel"/>
    <w:tmpl w:val="1A2449E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7F6052B6"/>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1AA"/>
    <w:rsid w:val="00031247"/>
    <w:rsid w:val="00474BCC"/>
    <w:rsid w:val="007E7597"/>
    <w:rsid w:val="00884F99"/>
    <w:rsid w:val="00B641AA"/>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A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B641A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641AA"/>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B641AA"/>
  </w:style>
  <w:style w:type="table" w:customStyle="1" w:styleId="TableGrid15">
    <w:name w:val="Table Grid15"/>
    <w:basedOn w:val="TableNormal"/>
    <w:uiPriority w:val="59"/>
    <w:rsid w:val="00B641A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41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AA"/>
    <w:rPr>
      <w:rFonts w:ascii="Tahoma" w:hAnsi="Tahoma" w:cs="Tahoma"/>
      <w:sz w:val="16"/>
      <w:szCs w:val="16"/>
    </w:rPr>
  </w:style>
  <w:style w:type="table" w:customStyle="1" w:styleId="TableGrid18">
    <w:name w:val="Table Grid18"/>
    <w:basedOn w:val="TableNormal"/>
    <w:next w:val="TableGrid13"/>
    <w:uiPriority w:val="59"/>
    <w:rsid w:val="00B641AA"/>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B641AA"/>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400</Words>
  <Characters>2281</Characters>
  <Application>Microsoft Office Word</Application>
  <DocSecurity>0</DocSecurity>
  <Lines>19</Lines>
  <Paragraphs>5</Paragraphs>
  <ScaleCrop>false</ScaleCrop>
  <Company/>
  <LinksUpToDate>false</LinksUpToDate>
  <CharactersWithSpaces>2676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2015-01-21T15:48:00Z</dcterms:created>
  <dcterms:modified xsi:type="dcterms:W3CDTF">2015-01-21T15:50:00Z</dcterms:modified>
</cp:coreProperties>
</file>