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905"/>
        <w:gridCol w:w="546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1D2306" w:rsidRPr="001D2306" w:rsidTr="003E5744">
        <w:tc>
          <w:tcPr>
            <w:tcW w:w="4821" w:type="dxa"/>
            <w:gridSpan w:val="7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Danica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Glavaš-Trbić</w:t>
            </w:r>
            <w:proofErr w:type="spellEnd"/>
          </w:p>
        </w:tc>
      </w:tr>
      <w:tr w:rsidR="001D2306" w:rsidRPr="001D2306" w:rsidTr="003E5744">
        <w:tc>
          <w:tcPr>
            <w:tcW w:w="4821" w:type="dxa"/>
            <w:gridSpan w:val="7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Research assistant</w:t>
            </w:r>
          </w:p>
        </w:tc>
      </w:tr>
      <w:tr w:rsidR="001D2306" w:rsidRPr="001D2306" w:rsidTr="003E5744">
        <w:tc>
          <w:tcPr>
            <w:tcW w:w="4821" w:type="dxa"/>
            <w:gridSpan w:val="7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University of Novi Sad, Faculty of Agriculture, 1</w:t>
            </w: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GB"/>
              </w:rPr>
              <w:t>st</w:t>
            </w: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Jan 2011</w:t>
            </w:r>
          </w:p>
        </w:tc>
      </w:tr>
      <w:tr w:rsidR="001D2306" w:rsidRPr="001D2306" w:rsidTr="003E5744">
        <w:tc>
          <w:tcPr>
            <w:tcW w:w="4821" w:type="dxa"/>
            <w:gridSpan w:val="7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Economics</w:t>
            </w:r>
          </w:p>
        </w:tc>
      </w:tr>
      <w:tr w:rsidR="001D2306" w:rsidRPr="001D2306" w:rsidTr="003E5744">
        <w:tc>
          <w:tcPr>
            <w:tcW w:w="9800" w:type="dxa"/>
            <w:gridSpan w:val="12"/>
            <w:shd w:val="clear" w:color="auto" w:fill="C2D69B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  <w:t>Academic career</w:t>
            </w:r>
          </w:p>
        </w:tc>
      </w:tr>
      <w:tr w:rsidR="001D2306" w:rsidRPr="001D2306" w:rsidTr="003E5744">
        <w:tc>
          <w:tcPr>
            <w:tcW w:w="2009" w:type="dxa"/>
            <w:gridSpan w:val="4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204" w:type="dxa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Field</w:t>
            </w:r>
          </w:p>
        </w:tc>
      </w:tr>
      <w:tr w:rsidR="001D2306" w:rsidRPr="001D2306" w:rsidTr="003E5744">
        <w:tc>
          <w:tcPr>
            <w:tcW w:w="2009" w:type="dxa"/>
            <w:gridSpan w:val="4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1D2306" w:rsidRPr="001D2306" w:rsidRDefault="001D2306" w:rsidP="001D230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GB"/>
              </w:rPr>
              <w:t>2011</w:t>
            </w:r>
          </w:p>
        </w:tc>
        <w:tc>
          <w:tcPr>
            <w:tcW w:w="3683" w:type="dxa"/>
            <w:gridSpan w:val="5"/>
          </w:tcPr>
          <w:p w:rsidR="001D2306" w:rsidRPr="001D2306" w:rsidRDefault="001D2306" w:rsidP="001D230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  <w:t>University of  Novi Sad, Faculty of Agriculture</w:t>
            </w:r>
          </w:p>
        </w:tc>
        <w:tc>
          <w:tcPr>
            <w:tcW w:w="2904" w:type="dxa"/>
            <w:gridSpan w:val="2"/>
          </w:tcPr>
          <w:p w:rsidR="001D2306" w:rsidRPr="001D2306" w:rsidRDefault="001D2306" w:rsidP="001D230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  <w:t>Economics</w:t>
            </w:r>
          </w:p>
        </w:tc>
      </w:tr>
      <w:tr w:rsidR="001D2306" w:rsidRPr="001D2306" w:rsidTr="003E5744">
        <w:tc>
          <w:tcPr>
            <w:tcW w:w="2009" w:type="dxa"/>
            <w:gridSpan w:val="4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1D2306" w:rsidRPr="001D2306" w:rsidRDefault="001D2306" w:rsidP="001D230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1D2306" w:rsidRPr="001D2306" w:rsidRDefault="001D2306" w:rsidP="001D230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1D2306" w:rsidRPr="001D2306" w:rsidRDefault="001D2306" w:rsidP="001D230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</w:p>
        </w:tc>
      </w:tr>
      <w:tr w:rsidR="001D2306" w:rsidRPr="001D2306" w:rsidTr="003E5744">
        <w:tc>
          <w:tcPr>
            <w:tcW w:w="2009" w:type="dxa"/>
            <w:gridSpan w:val="4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1D2306" w:rsidRPr="001D2306" w:rsidRDefault="001D2306" w:rsidP="001D230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1D2306" w:rsidRPr="001D2306" w:rsidRDefault="001D2306" w:rsidP="001D230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1D2306" w:rsidRPr="001D2306" w:rsidRDefault="001D2306" w:rsidP="001D230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</w:p>
        </w:tc>
      </w:tr>
      <w:tr w:rsidR="001D2306" w:rsidRPr="001D2306" w:rsidTr="003E5744">
        <w:tc>
          <w:tcPr>
            <w:tcW w:w="2009" w:type="dxa"/>
            <w:gridSpan w:val="4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Magister’s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thesis</w:t>
            </w:r>
          </w:p>
        </w:tc>
        <w:tc>
          <w:tcPr>
            <w:tcW w:w="1204" w:type="dxa"/>
          </w:tcPr>
          <w:p w:rsidR="001D2306" w:rsidRPr="001D2306" w:rsidRDefault="001D2306" w:rsidP="001D230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GB"/>
              </w:rPr>
              <w:t>2010</w:t>
            </w:r>
          </w:p>
        </w:tc>
        <w:tc>
          <w:tcPr>
            <w:tcW w:w="3683" w:type="dxa"/>
            <w:gridSpan w:val="5"/>
          </w:tcPr>
          <w:p w:rsidR="001D2306" w:rsidRPr="001D2306" w:rsidRDefault="001D2306" w:rsidP="001D230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  <w:t xml:space="preserve">University of  Novi Sad, Faculty of Agriculture; </w:t>
            </w:r>
          </w:p>
        </w:tc>
        <w:tc>
          <w:tcPr>
            <w:tcW w:w="2904" w:type="dxa"/>
            <w:gridSpan w:val="2"/>
          </w:tcPr>
          <w:p w:rsidR="001D2306" w:rsidRPr="001D2306" w:rsidRDefault="001D2306" w:rsidP="001D230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  <w:t>Agricultural Economics</w:t>
            </w:r>
          </w:p>
        </w:tc>
      </w:tr>
      <w:tr w:rsidR="001D2306" w:rsidRPr="001D2306" w:rsidTr="003E5744">
        <w:tc>
          <w:tcPr>
            <w:tcW w:w="2009" w:type="dxa"/>
            <w:gridSpan w:val="4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GB"/>
              </w:rPr>
              <w:t>2008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  <w:t>University of  Novi Sad, Faculty of Agriculture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/>
              </w:rPr>
              <w:t>Agricultural Economics</w:t>
            </w:r>
          </w:p>
        </w:tc>
      </w:tr>
      <w:tr w:rsidR="001D2306" w:rsidRPr="001D2306" w:rsidTr="003E5744">
        <w:tc>
          <w:tcPr>
            <w:tcW w:w="9800" w:type="dxa"/>
            <w:gridSpan w:val="12"/>
            <w:shd w:val="clear" w:color="auto" w:fill="C2D69B"/>
            <w:vAlign w:val="center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  <w:t>List of courses being held by the teacher in the accredited study programmes</w:t>
            </w:r>
          </w:p>
        </w:tc>
      </w:tr>
      <w:tr w:rsidR="001D2306" w:rsidRPr="001D2306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shd w:val="clear" w:color="auto" w:fill="C2D69B"/>
            <w:vAlign w:val="center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ID</w:t>
            </w:r>
          </w:p>
        </w:tc>
        <w:tc>
          <w:tcPr>
            <w:tcW w:w="3537" w:type="dxa"/>
            <w:gridSpan w:val="5"/>
            <w:shd w:val="clear" w:color="auto" w:fill="C2D69B"/>
            <w:vAlign w:val="center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Number of active teaching classes</w:t>
            </w:r>
          </w:p>
        </w:tc>
      </w:tr>
      <w:tr w:rsidR="001D2306" w:rsidRPr="001D2306" w:rsidTr="003E5744">
        <w:tc>
          <w:tcPr>
            <w:tcW w:w="532" w:type="dxa"/>
            <w:gridSpan w:val="2"/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1.</w:t>
            </w:r>
          </w:p>
        </w:tc>
        <w:tc>
          <w:tcPr>
            <w:tcW w:w="919" w:type="dxa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3ОАЕ1О04</w:t>
            </w:r>
          </w:p>
        </w:tc>
        <w:tc>
          <w:tcPr>
            <w:tcW w:w="3537" w:type="dxa"/>
            <w:gridSpan w:val="5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Microeconomics</w:t>
            </w:r>
          </w:p>
        </w:tc>
        <w:tc>
          <w:tcPr>
            <w:tcW w:w="3396" w:type="dxa"/>
            <w:gridSpan w:val="3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0+0.5</w:t>
            </w:r>
          </w:p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</w:p>
        </w:tc>
      </w:tr>
      <w:tr w:rsidR="001D2306" w:rsidRPr="001D2306" w:rsidTr="003E5744">
        <w:tc>
          <w:tcPr>
            <w:tcW w:w="532" w:type="dxa"/>
            <w:gridSpan w:val="2"/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2.</w:t>
            </w:r>
          </w:p>
        </w:tc>
        <w:tc>
          <w:tcPr>
            <w:tcW w:w="919" w:type="dxa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3ОАЕ2О06</w:t>
            </w:r>
          </w:p>
        </w:tc>
        <w:tc>
          <w:tcPr>
            <w:tcW w:w="3537" w:type="dxa"/>
            <w:gridSpan w:val="5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Macroeconomics</w:t>
            </w:r>
          </w:p>
        </w:tc>
        <w:tc>
          <w:tcPr>
            <w:tcW w:w="3396" w:type="dxa"/>
            <w:gridSpan w:val="3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0+0.5</w:t>
            </w:r>
          </w:p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</w:p>
        </w:tc>
      </w:tr>
      <w:tr w:rsidR="001D2306" w:rsidRPr="001D2306" w:rsidTr="003E5744">
        <w:tc>
          <w:tcPr>
            <w:tcW w:w="532" w:type="dxa"/>
            <w:gridSpan w:val="2"/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3.</w:t>
            </w:r>
          </w:p>
        </w:tc>
        <w:tc>
          <w:tcPr>
            <w:tcW w:w="919" w:type="dxa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3ОАЕ3О14</w:t>
            </w:r>
          </w:p>
        </w:tc>
        <w:tc>
          <w:tcPr>
            <w:tcW w:w="3537" w:type="dxa"/>
            <w:gridSpan w:val="5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Economic System and Economic Policy</w:t>
            </w:r>
          </w:p>
        </w:tc>
        <w:tc>
          <w:tcPr>
            <w:tcW w:w="3396" w:type="dxa"/>
            <w:gridSpan w:val="3"/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0+2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GB"/>
              </w:rPr>
            </w:pPr>
            <w:r w:rsidRPr="001D2306">
              <w:rPr>
                <w:rFonts w:ascii="Calibri" w:eastAsia="Times New Roman" w:hAnsi="Calibri" w:cs="Times New Roman"/>
                <w:sz w:val="14"/>
                <w:szCs w:val="14"/>
                <w:lang w:val="en-GB"/>
              </w:rPr>
              <w:t>3ОАЕ4О18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160" w:line="259" w:lineRule="auto"/>
              <w:jc w:val="left"/>
              <w:rPr>
                <w:rFonts w:ascii="Calibri" w:eastAsia="Calibri" w:hAnsi="Calibri" w:cs="Arial"/>
                <w:sz w:val="14"/>
                <w:szCs w:val="14"/>
                <w:lang w:val="en-GB"/>
              </w:rPr>
            </w:pPr>
            <w:r w:rsidRPr="001D2306">
              <w:rPr>
                <w:rFonts w:ascii="Calibri" w:eastAsia="Calibri" w:hAnsi="Calibri" w:cs="Arial"/>
                <w:i/>
                <w:sz w:val="14"/>
                <w:szCs w:val="14"/>
                <w:lang w:val="en-GB"/>
              </w:rPr>
              <w:t>Economics of Agriculture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0+2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7ОАТ2О08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Rural Development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Agritourism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7ОАТ4О17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Economics of Tourism and Rural Tourism  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Agritourism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3OST1O04</w:t>
            </w:r>
          </w:p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3ORT1O04</w:t>
            </w:r>
          </w:p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3ОHК1002</w:t>
            </w:r>
          </w:p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3ОFМ1О02</w:t>
            </w:r>
          </w:p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3ОАG1О02</w:t>
            </w:r>
          </w:p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3OOP1О05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Principles of Economics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Organic Agriculture</w:t>
            </w: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Crop </w:t>
            </w:r>
            <w:proofErr w:type="spellStart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Science,Animal</w:t>
            </w:r>
            <w:proofErr w:type="spellEnd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Science</w:t>
            </w: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Phytomedicine</w:t>
            </w:r>
            <w:proofErr w:type="spellEnd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Horticulture</w:t>
            </w: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Agroecology</w:t>
            </w:r>
            <w:proofErr w:type="spellEnd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and Environmental Protection</w:t>
            </w: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</w:p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Fruit Science and Viticulture(UAS)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Principles of Economics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Landscape Architecture, Agro-Industrial Engineering 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Economics and Management in Veterinary Practice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Veterinary Medicine (IAS)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0+0.5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3ОАЕ3I38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Entrepreneurial Economics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Agricultural Policy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Agricultural Economics </w:t>
            </w:r>
            <w:proofErr w:type="spellStart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Agritourism</w:t>
            </w:r>
            <w:proofErr w:type="spellEnd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2МRR1О02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Rural Economics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Agritourism</w:t>
            </w:r>
            <w:proofErr w:type="spellEnd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2МRR1I08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Business Ethics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Agritourism</w:t>
            </w:r>
            <w:proofErr w:type="spellEnd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and Rural Development (MAS)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2МRR1I12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Economics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1D2306" w:rsidRPr="001D2306" w:rsidRDefault="001D2306" w:rsidP="001D230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Agricultural Economics </w:t>
            </w:r>
            <w:proofErr w:type="spellStart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Agritourism</w:t>
            </w:r>
            <w:proofErr w:type="spellEnd"/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and Rural Development (MAS)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2306" w:rsidRPr="001D2306" w:rsidRDefault="001D2306" w:rsidP="001D230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0+1</w:t>
            </w:r>
          </w:p>
        </w:tc>
      </w:tr>
      <w:tr w:rsidR="001D2306" w:rsidRPr="001D2306" w:rsidTr="003E5744">
        <w:tc>
          <w:tcPr>
            <w:tcW w:w="9800" w:type="dxa"/>
            <w:gridSpan w:val="12"/>
            <w:shd w:val="clear" w:color="auto" w:fill="C2D69B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  <w:t>Representative references (minimum 5, not more than 10)</w:t>
            </w:r>
          </w:p>
        </w:tc>
      </w:tr>
      <w:tr w:rsidR="001D2306" w:rsidRPr="001D2306" w:rsidTr="003E5744">
        <w:tc>
          <w:tcPr>
            <w:tcW w:w="396" w:type="dxa"/>
          </w:tcPr>
          <w:p w:rsidR="001D2306" w:rsidRPr="001D2306" w:rsidRDefault="001D2306" w:rsidP="001D2306">
            <w:pPr>
              <w:numPr>
                <w:ilvl w:val="0"/>
                <w:numId w:val="2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404" w:type="dxa"/>
            <w:gridSpan w:val="11"/>
          </w:tcPr>
          <w:p w:rsidR="001D2306" w:rsidRPr="001D2306" w:rsidRDefault="001D2306" w:rsidP="001D2306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Glavaš-Trbić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D.,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Pejanović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R.,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Maksimović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G. (2010):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Ruralni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razvoj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lokalni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ekonomski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razvoj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Srbije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Agroekonomika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Poljoprivredni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fakultet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, Novi Sad, Vol. 47-48, br. 47-48, str. 80-92.</w:t>
            </w:r>
          </w:p>
        </w:tc>
      </w:tr>
      <w:tr w:rsidR="001D2306" w:rsidRPr="001D2306" w:rsidTr="003E5744">
        <w:tc>
          <w:tcPr>
            <w:tcW w:w="396" w:type="dxa"/>
          </w:tcPr>
          <w:p w:rsidR="001D2306" w:rsidRPr="001D2306" w:rsidRDefault="001D2306" w:rsidP="001D2306">
            <w:pPr>
              <w:numPr>
                <w:ilvl w:val="0"/>
                <w:numId w:val="2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404" w:type="dxa"/>
            <w:gridSpan w:val="11"/>
          </w:tcPr>
          <w:p w:rsidR="001D2306" w:rsidRPr="001D2306" w:rsidRDefault="001D2306" w:rsidP="001D2306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Pejanović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R.,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Tomaš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Mirela,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NJegovan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Z.,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Glavaš-Trbić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Danica (2010): 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Preduzetništvo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agrobiznis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Savremena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poljoprivreda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Poljoprivredni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fakultet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, Novi Sad, 59(5), str. 529-536.</w:t>
            </w:r>
          </w:p>
        </w:tc>
      </w:tr>
      <w:tr w:rsidR="001D2306" w:rsidRPr="001D2306" w:rsidTr="003E5744">
        <w:tc>
          <w:tcPr>
            <w:tcW w:w="396" w:type="dxa"/>
          </w:tcPr>
          <w:p w:rsidR="001D2306" w:rsidRPr="001D2306" w:rsidRDefault="001D2306" w:rsidP="001D2306">
            <w:pPr>
              <w:numPr>
                <w:ilvl w:val="0"/>
                <w:numId w:val="2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404" w:type="dxa"/>
            <w:gridSpan w:val="11"/>
          </w:tcPr>
          <w:p w:rsidR="001D2306" w:rsidRPr="001D2306" w:rsidRDefault="001D2306" w:rsidP="001D2306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Pejanović, R., </w:t>
            </w:r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Glavaš-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Trbić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, Danica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Tomaš, Mirela (2011): 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Public-Private Partnerships as a solution for solving economic and energetic problems in a community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Agroekonomika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, Poljoprivredni fakultet, Novi Sad, vol. 49-50, br. 49-50, str. 5-16.</w:t>
            </w:r>
          </w:p>
        </w:tc>
      </w:tr>
      <w:tr w:rsidR="001D2306" w:rsidRPr="001D2306" w:rsidTr="003E5744">
        <w:tc>
          <w:tcPr>
            <w:tcW w:w="396" w:type="dxa"/>
          </w:tcPr>
          <w:p w:rsidR="001D2306" w:rsidRPr="001D2306" w:rsidRDefault="001D2306" w:rsidP="001D2306">
            <w:pPr>
              <w:numPr>
                <w:ilvl w:val="0"/>
                <w:numId w:val="2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404" w:type="dxa"/>
            <w:gridSpan w:val="11"/>
          </w:tcPr>
          <w:p w:rsidR="001D2306" w:rsidRPr="001D2306" w:rsidRDefault="001D2306" w:rsidP="001D2306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Pejanović, R., Tomaš, Mirela, Vučković, Jovana, Stefanović, Emilija, </w:t>
            </w:r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 xml:space="preserve">Glavaš –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Trbić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, Danica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Kalentić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Marija (2011):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OrganicagricultureandruraldevelopmentinAPVojvodina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, Savremena poljoprivreda, Poljoprivredni fakultet, Novi Sad, 60(1-2), str. 231-239.</w:t>
            </w:r>
          </w:p>
        </w:tc>
      </w:tr>
      <w:tr w:rsidR="001D2306" w:rsidRPr="001D2306" w:rsidTr="003E5744">
        <w:tc>
          <w:tcPr>
            <w:tcW w:w="396" w:type="dxa"/>
          </w:tcPr>
          <w:p w:rsidR="001D2306" w:rsidRPr="001D2306" w:rsidRDefault="001D2306" w:rsidP="001D2306">
            <w:pPr>
              <w:numPr>
                <w:ilvl w:val="0"/>
                <w:numId w:val="2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404" w:type="dxa"/>
            <w:gridSpan w:val="11"/>
          </w:tcPr>
          <w:p w:rsidR="001D2306" w:rsidRPr="001D2306" w:rsidRDefault="001D2306" w:rsidP="001D230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Glavaš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–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Trbić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, D.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Maksimović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G.,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Pejanović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, R.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 (2011)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: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Impotrance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and role of clusters in organic food production, Book of proceedings, 22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nd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International Symposium „Food safety production“, Faculty of Agriculture, Novi Sad,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Trebinje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, Bosnia and Herzegovina, 19 – 25 June, pp. 175-177.</w:t>
            </w:r>
          </w:p>
        </w:tc>
      </w:tr>
      <w:tr w:rsidR="001D2306" w:rsidRPr="001D2306" w:rsidTr="003E5744">
        <w:trPr>
          <w:trHeight w:val="238"/>
        </w:trPr>
        <w:tc>
          <w:tcPr>
            <w:tcW w:w="396" w:type="dxa"/>
          </w:tcPr>
          <w:p w:rsidR="001D2306" w:rsidRPr="001D2306" w:rsidRDefault="001D2306" w:rsidP="001D2306">
            <w:pPr>
              <w:numPr>
                <w:ilvl w:val="0"/>
                <w:numId w:val="2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404" w:type="dxa"/>
            <w:gridSpan w:val="11"/>
          </w:tcPr>
          <w:p w:rsidR="001D2306" w:rsidRPr="001D2306" w:rsidRDefault="001D2306" w:rsidP="001D2306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Pejanovi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ć, 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., Đ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uki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ć, 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Sanja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Glava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 xml:space="preserve">š –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Trbi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 xml:space="preserve">ć, </w:t>
            </w:r>
            <w:proofErr w:type="gram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Danica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(</w:t>
            </w:r>
            <w:proofErr w:type="gram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2011):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RuralniilokalniekonomskirazvojuregionuFru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š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kegore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 –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studijaslu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č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aja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Ekonomikapoljoprivrede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specijalnibroj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Me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đ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unarodninau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č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niskup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 „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SustainableAgricultureandRuralDevelopmentinTermsoftheRepublicofSerbiaStrategicGoalsImplementationwithinDanubeRegion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knjigaI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volLVIII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BanjaVrdnik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str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. 172-179.</w:t>
            </w:r>
          </w:p>
        </w:tc>
      </w:tr>
      <w:tr w:rsidR="001D2306" w:rsidRPr="001D2306" w:rsidTr="003E5744">
        <w:tc>
          <w:tcPr>
            <w:tcW w:w="396" w:type="dxa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numPr>
                <w:ilvl w:val="0"/>
                <w:numId w:val="2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404" w:type="dxa"/>
            <w:gridSpan w:val="11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Glavaš-Trbić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Danica (2012):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Klasteri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u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funkciji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ruralnog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razvoja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monografija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Zadužbina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Andrejević</w:t>
            </w:r>
            <w:proofErr w:type="spellEnd"/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, Beograd.</w:t>
            </w:r>
          </w:p>
        </w:tc>
      </w:tr>
      <w:tr w:rsidR="001D2306" w:rsidRPr="001D2306" w:rsidTr="003E5744">
        <w:tc>
          <w:tcPr>
            <w:tcW w:w="396" w:type="dxa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numPr>
                <w:ilvl w:val="0"/>
                <w:numId w:val="2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404" w:type="dxa"/>
            <w:gridSpan w:val="11"/>
            <w:tcBorders>
              <w:bottom w:val="single" w:sz="4" w:space="0" w:color="auto"/>
            </w:tcBorders>
          </w:tcPr>
          <w:p w:rsidR="001D2306" w:rsidRPr="001D2306" w:rsidRDefault="001D2306" w:rsidP="001D2306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Đukić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Sanja,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Glavaš-Trbić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, Danica 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(2012): Opportunities for Development of Tourism within the Area of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Fruška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gora</w:t>
            </w:r>
            <w:proofErr w:type="spellEnd"/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</w:rPr>
              <w:t>, Thematic Proceedings, International Scientific Meeting „Sustainable Agriculture and Rural Development in Terms of the Republic of Serbia Strategic Goals Realization within the Danube Region – preservation of rural values“, 6-8. December 2012, Tara, Institute of Agricultural Economics, Belgrade, Serbia, pp. 556-573</w:t>
            </w:r>
            <w:r w:rsidRPr="001D2306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.</w:t>
            </w:r>
          </w:p>
        </w:tc>
      </w:tr>
      <w:tr w:rsidR="001D2306" w:rsidRPr="001D2306" w:rsidTr="003E5744">
        <w:tc>
          <w:tcPr>
            <w:tcW w:w="9800" w:type="dxa"/>
            <w:gridSpan w:val="12"/>
            <w:shd w:val="clear" w:color="auto" w:fill="C2D69B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  <w:t xml:space="preserve">Summary data for the teacher's scientific or art and professional activity: </w:t>
            </w:r>
          </w:p>
        </w:tc>
      </w:tr>
      <w:tr w:rsidR="001D2306" w:rsidRPr="001D2306" w:rsidTr="003E5744">
        <w:tc>
          <w:tcPr>
            <w:tcW w:w="4223" w:type="dxa"/>
            <w:gridSpan w:val="6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1D2306" w:rsidRPr="001D2306" w:rsidTr="003E5744">
        <w:tc>
          <w:tcPr>
            <w:tcW w:w="4223" w:type="dxa"/>
            <w:gridSpan w:val="6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1D2306" w:rsidRPr="001D2306" w:rsidTr="003E5744">
        <w:tc>
          <w:tcPr>
            <w:tcW w:w="4223" w:type="dxa"/>
            <w:gridSpan w:val="6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1D2306" w:rsidRPr="001D2306" w:rsidRDefault="001D2306" w:rsidP="001D230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International:2</w:t>
            </w:r>
          </w:p>
        </w:tc>
      </w:tr>
      <w:tr w:rsidR="001D2306" w:rsidRPr="001D2306" w:rsidTr="003E5744">
        <w:tc>
          <w:tcPr>
            <w:tcW w:w="1451" w:type="dxa"/>
            <w:gridSpan w:val="3"/>
            <w:vAlign w:val="center"/>
          </w:tcPr>
          <w:p w:rsidR="001D2306" w:rsidRPr="001D2306" w:rsidRDefault="001D2306" w:rsidP="001D230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1D23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Specialization </w:t>
            </w:r>
          </w:p>
        </w:tc>
        <w:tc>
          <w:tcPr>
            <w:tcW w:w="8349" w:type="dxa"/>
            <w:gridSpan w:val="9"/>
          </w:tcPr>
          <w:p w:rsidR="001D2306" w:rsidRPr="001D2306" w:rsidRDefault="001D2306" w:rsidP="001D230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D2306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Faculty of Agriculture, Humboldt University, Berlin, September 2008 – October 2009 (TEMPUS project)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2A" w:rsidRDefault="00C24F2A" w:rsidP="00D814C3">
      <w:pPr>
        <w:spacing w:after="0"/>
      </w:pPr>
      <w:r>
        <w:separator/>
      </w:r>
    </w:p>
  </w:endnote>
  <w:endnote w:type="continuationSeparator" w:id="0">
    <w:p w:rsidR="00C24F2A" w:rsidRDefault="00C24F2A" w:rsidP="00D814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A" w:rsidRDefault="00662B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A" w:rsidRDefault="00662B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A" w:rsidRDefault="00662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2A" w:rsidRDefault="00C24F2A" w:rsidP="00D814C3">
      <w:pPr>
        <w:spacing w:after="0"/>
      </w:pPr>
      <w:r>
        <w:separator/>
      </w:r>
    </w:p>
  </w:footnote>
  <w:footnote w:type="continuationSeparator" w:id="0">
    <w:p w:rsidR="00C24F2A" w:rsidRDefault="00C24F2A" w:rsidP="00D814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A" w:rsidRDefault="00662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24F2A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24F2A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24F2A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662BDA" w:rsidRDefault="00662BDA" w:rsidP="00662B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662BDA" w:rsidP="00662BDA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C24F2A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C24F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A" w:rsidRDefault="00662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D8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A13C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D2306"/>
    <w:rsid w:val="00474BCC"/>
    <w:rsid w:val="00662BDA"/>
    <w:rsid w:val="007A479D"/>
    <w:rsid w:val="007E7597"/>
    <w:rsid w:val="00884F99"/>
    <w:rsid w:val="008D5F3E"/>
    <w:rsid w:val="00C24F2A"/>
    <w:rsid w:val="00C25483"/>
    <w:rsid w:val="00D53A9F"/>
    <w:rsid w:val="00D65D93"/>
    <w:rsid w:val="00D7497A"/>
    <w:rsid w:val="00D8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62BD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2015-01-22T12:28:00Z</dcterms:modified>
</cp:coreProperties>
</file>