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134"/>
        <w:gridCol w:w="567"/>
        <w:gridCol w:w="1186"/>
        <w:gridCol w:w="515"/>
        <w:gridCol w:w="734"/>
        <w:gridCol w:w="1109"/>
        <w:gridCol w:w="1429"/>
        <w:gridCol w:w="414"/>
        <w:gridCol w:w="709"/>
        <w:gridCol w:w="8"/>
        <w:gridCol w:w="1267"/>
      </w:tblGrid>
      <w:tr w:rsidR="009E2BF4" w:rsidRPr="00A0184E" w:rsidTr="00377577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A0184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0"/>
            <w:vMerge w:val="restart"/>
            <w:vAlign w:val="center"/>
          </w:tcPr>
          <w:p w:rsidR="009E2BF4" w:rsidRPr="001A7D05" w:rsidRDefault="00310BB3" w:rsidP="009E2BF4">
            <w:pPr>
              <w:jc w:val="center"/>
              <w:rPr>
                <w:rFonts w:cstheme="minorHAnsi"/>
                <w:i/>
              </w:rPr>
            </w:pPr>
            <w:r w:rsidRPr="001A7D05">
              <w:rPr>
                <w:rFonts w:cstheme="minorHAnsi"/>
                <w:b/>
              </w:rPr>
              <w:t>APPLIED HYDRAULICS AND HYDROLOGY</w:t>
            </w:r>
          </w:p>
        </w:tc>
      </w:tr>
      <w:tr w:rsidR="009E2BF4" w:rsidRPr="00A0184E" w:rsidTr="00377577">
        <w:tc>
          <w:tcPr>
            <w:tcW w:w="1809" w:type="dxa"/>
            <w:gridSpan w:val="2"/>
            <w:vAlign w:val="center"/>
          </w:tcPr>
          <w:p w:rsidR="009E2BF4" w:rsidRPr="00A0184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0"/>
            <w:vMerge/>
          </w:tcPr>
          <w:p w:rsidR="009E2BF4" w:rsidRPr="00A0184E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A0184E" w:rsidTr="00377577">
        <w:tc>
          <w:tcPr>
            <w:tcW w:w="1809" w:type="dxa"/>
            <w:gridSpan w:val="2"/>
            <w:vAlign w:val="center"/>
          </w:tcPr>
          <w:p w:rsidR="009E2BF4" w:rsidRPr="00A0184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Number of ECTS:</w:t>
            </w:r>
            <w:r w:rsidR="00D82340">
              <w:rPr>
                <w:rFonts w:cstheme="minorHAnsi"/>
                <w:sz w:val="16"/>
                <w:szCs w:val="16"/>
              </w:rPr>
              <w:t xml:space="preserve">  4</w:t>
            </w:r>
          </w:p>
        </w:tc>
        <w:tc>
          <w:tcPr>
            <w:tcW w:w="7938" w:type="dxa"/>
            <w:gridSpan w:val="10"/>
            <w:vMerge/>
          </w:tcPr>
          <w:p w:rsidR="009E2BF4" w:rsidRPr="00A0184E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A0184E" w:rsidTr="00377577">
        <w:tc>
          <w:tcPr>
            <w:tcW w:w="1809" w:type="dxa"/>
            <w:gridSpan w:val="2"/>
            <w:vAlign w:val="center"/>
          </w:tcPr>
          <w:p w:rsidR="002611DF" w:rsidRPr="00A0184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0"/>
          </w:tcPr>
          <w:p w:rsidR="002611DF" w:rsidRPr="001A7D05" w:rsidRDefault="003C4C61" w:rsidP="001312B9">
            <w:pPr>
              <w:rPr>
                <w:rFonts w:cstheme="minorHAnsi"/>
                <w:sz w:val="20"/>
                <w:szCs w:val="20"/>
              </w:rPr>
            </w:pPr>
            <w:r w:rsidRPr="001A7D05">
              <w:rPr>
                <w:rFonts w:cstheme="minorHAnsi"/>
                <w:sz w:val="20"/>
                <w:szCs w:val="20"/>
              </w:rPr>
              <w:t xml:space="preserve">Atila </w:t>
            </w:r>
            <w:proofErr w:type="spellStart"/>
            <w:r w:rsidRPr="001A7D05">
              <w:rPr>
                <w:rFonts w:cstheme="minorHAnsi"/>
                <w:sz w:val="20"/>
                <w:szCs w:val="20"/>
              </w:rPr>
              <w:t>Salvai</w:t>
            </w:r>
            <w:proofErr w:type="spellEnd"/>
            <w:r w:rsidRPr="001A7D0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A7D05">
              <w:rPr>
                <w:rFonts w:cstheme="minorHAnsi"/>
                <w:sz w:val="20"/>
                <w:szCs w:val="20"/>
              </w:rPr>
              <w:t>Milica</w:t>
            </w:r>
            <w:proofErr w:type="spellEnd"/>
            <w:r w:rsidRPr="001A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7D05">
              <w:rPr>
                <w:rFonts w:cstheme="minorHAnsi"/>
                <w:sz w:val="20"/>
                <w:szCs w:val="20"/>
              </w:rPr>
              <w:t>Rajic</w:t>
            </w:r>
            <w:proofErr w:type="spellEnd"/>
            <w:r w:rsidR="00D82340" w:rsidRPr="001A7D0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82340" w:rsidRPr="001A7D05">
              <w:rPr>
                <w:rFonts w:cstheme="minorHAnsi"/>
                <w:sz w:val="20"/>
                <w:szCs w:val="20"/>
              </w:rPr>
              <w:t>Enika</w:t>
            </w:r>
            <w:proofErr w:type="spellEnd"/>
            <w:r w:rsidR="00D82340" w:rsidRPr="001A7D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82340" w:rsidRPr="001A7D05">
              <w:rPr>
                <w:rFonts w:cstheme="minorHAnsi"/>
                <w:sz w:val="20"/>
                <w:szCs w:val="20"/>
              </w:rPr>
              <w:t>Gregoric</w:t>
            </w:r>
            <w:proofErr w:type="spellEnd"/>
          </w:p>
        </w:tc>
      </w:tr>
      <w:tr w:rsidR="00DF0ABC" w:rsidRPr="00A0184E" w:rsidTr="00377577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0184E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Course s</w:t>
            </w:r>
            <w:r w:rsidR="00AE67EE" w:rsidRPr="00A0184E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DF0ABC" w:rsidRPr="00A0184E" w:rsidRDefault="00AE67EE" w:rsidP="001312B9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Elective</w:t>
            </w:r>
          </w:p>
        </w:tc>
      </w:tr>
      <w:tr w:rsidR="009E2BF4" w:rsidRPr="00A0184E" w:rsidTr="00D82340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0184E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9E2BF4" w:rsidRPr="00A0184E" w:rsidTr="00377577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184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Lectures:</w:t>
            </w:r>
            <w:r w:rsidR="001A7D05">
              <w:rPr>
                <w:rFonts w:cstheme="minorHAnsi"/>
                <w:sz w:val="16"/>
                <w:szCs w:val="16"/>
              </w:rPr>
              <w:t xml:space="preserve"> </w:t>
            </w:r>
            <w:r w:rsidR="00B66AF2" w:rsidRPr="00A0184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184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Practical classes:</w:t>
            </w:r>
            <w:r w:rsidR="001A7D05">
              <w:rPr>
                <w:rFonts w:cstheme="minorHAnsi"/>
                <w:sz w:val="16"/>
                <w:szCs w:val="16"/>
              </w:rPr>
              <w:t xml:space="preserve"> </w:t>
            </w:r>
            <w:r w:rsidR="00B66AF2" w:rsidRPr="00A0184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184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184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184E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A0184E" w:rsidTr="00377577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A0184E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0"/>
            <w:shd w:val="clear" w:color="auto" w:fill="C2D69B" w:themeFill="accent3" w:themeFillTint="99"/>
            <w:vAlign w:val="center"/>
          </w:tcPr>
          <w:p w:rsidR="009E2BF4" w:rsidRPr="00A0184E" w:rsidRDefault="009E2BF4" w:rsidP="00D82340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None</w:t>
            </w:r>
          </w:p>
        </w:tc>
      </w:tr>
      <w:tr w:rsidR="005E42D1" w:rsidRPr="00A0184E" w:rsidTr="00D82340">
        <w:tc>
          <w:tcPr>
            <w:tcW w:w="9747" w:type="dxa"/>
            <w:gridSpan w:val="12"/>
          </w:tcPr>
          <w:p w:rsidR="005E42D1" w:rsidRPr="00A0184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Educational goal</w:t>
            </w:r>
          </w:p>
          <w:p w:rsidR="005E42D1" w:rsidRPr="00A0184E" w:rsidRDefault="00B66AF2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Understanding the basic hydraulic principles of open channel flows.</w:t>
            </w:r>
            <w:r w:rsidRPr="00A0184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A0184E">
              <w:rPr>
                <w:rFonts w:cstheme="minorHAnsi"/>
                <w:sz w:val="16"/>
                <w:szCs w:val="16"/>
              </w:rPr>
              <w:t>This module provides a conceptual and quantitative understanding of hydrology and the basic principles of hydraulics as a basis for later applied studies of water quality, water engineering, and water management</w:t>
            </w:r>
          </w:p>
        </w:tc>
      </w:tr>
      <w:tr w:rsidR="005E42D1" w:rsidRPr="00A0184E" w:rsidTr="00D82340">
        <w:tc>
          <w:tcPr>
            <w:tcW w:w="9747" w:type="dxa"/>
            <w:gridSpan w:val="12"/>
          </w:tcPr>
          <w:p w:rsidR="005E42D1" w:rsidRPr="00A0184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Educational outcomes</w:t>
            </w:r>
          </w:p>
          <w:p w:rsidR="005E42D1" w:rsidRPr="00A0184E" w:rsidRDefault="00B66AF2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bCs/>
                <w:sz w:val="16"/>
                <w:szCs w:val="16"/>
              </w:rPr>
              <w:t xml:space="preserve">Develop skills for </w:t>
            </w:r>
            <w:r w:rsidRPr="00A0184E">
              <w:rPr>
                <w:rFonts w:cstheme="minorHAnsi"/>
                <w:sz w:val="16"/>
                <w:szCs w:val="16"/>
              </w:rPr>
              <w:t xml:space="preserve">the quantification of surface and groundwater hydraulic and hydrological processes. An understanding of rainfall,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evapotranspiration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>, runoff, groundwater recharge, groundwater storage, and groundwater movement is essential for those involved in the science, engineering or management of the water environment</w:t>
            </w:r>
          </w:p>
        </w:tc>
      </w:tr>
      <w:tr w:rsidR="005E42D1" w:rsidRPr="00A0184E" w:rsidTr="00D82340">
        <w:tc>
          <w:tcPr>
            <w:tcW w:w="9747" w:type="dxa"/>
            <w:gridSpan w:val="12"/>
          </w:tcPr>
          <w:p w:rsidR="005E42D1" w:rsidRPr="00A0184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Course content</w:t>
            </w:r>
          </w:p>
          <w:p w:rsidR="00B66AF2" w:rsidRPr="00A0184E" w:rsidRDefault="00B66AF2" w:rsidP="00B66AF2">
            <w:pPr>
              <w:jc w:val="both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 xml:space="preserve">Analysis of free surface flows, definitions. Flow resistance in open channels: resistance coefficients, discharge equations. Strongly varying flow: control section, control structures (weirs, gates), energy dissipation (hydraulic jump, stilling basins). Gradually varying flow: energy equation, qualitative analysis of surface profiles, differential equation and integration methods, and numerical models. Unsteady open channel flow: St.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Venant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 xml:space="preserve"> equations, flood waves. Structures in open channels and flow measurement. The measurement of flow in rivers and canals. Sediment transport: incipient motion suspended sediment transport, bed-load transport,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bedforms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 xml:space="preserve">, sediment transport in irrigation and drainage channels,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desilting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 xml:space="preserve"> devices.</w:t>
            </w:r>
          </w:p>
          <w:p w:rsidR="005E42D1" w:rsidRPr="00A0184E" w:rsidRDefault="00B66AF2" w:rsidP="009E2BF4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 xml:space="preserve">Precipitation, measurement of precipitation amount and intensity, spatial analysis.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Evapotranspiration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>, Penman-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Monteith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 xml:space="preserve"> approach, actual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evapotranspiration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 xml:space="preserve">. Runoff processes; overland flow, interflow, base flow. Groundwater occurrence: porosity, permeability, water holding formations, aquifers. Aquifer properties: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transmissivity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 xml:space="preserve">, storage coefficient, significance and typical magnitudes of these properties. Groundwater movement: flow lines and </w:t>
            </w:r>
            <w:proofErr w:type="spellStart"/>
            <w:r w:rsidRPr="00A0184E">
              <w:rPr>
                <w:rFonts w:cstheme="minorHAnsi"/>
                <w:sz w:val="16"/>
                <w:szCs w:val="16"/>
              </w:rPr>
              <w:t>equipotentials</w:t>
            </w:r>
            <w:proofErr w:type="spellEnd"/>
            <w:r w:rsidRPr="00A0184E">
              <w:rPr>
                <w:rFonts w:cstheme="minorHAnsi"/>
                <w:sz w:val="16"/>
                <w:szCs w:val="16"/>
              </w:rPr>
              <w:t>, natural flow, recharge, flow to wells, drawdown, cone of influence, radius of influence, interference</w:t>
            </w:r>
          </w:p>
        </w:tc>
      </w:tr>
      <w:tr w:rsidR="005E42D1" w:rsidRPr="00A0184E" w:rsidTr="00D82340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A0184E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Teaching methods</w:t>
            </w:r>
          </w:p>
          <w:p w:rsidR="005E42D1" w:rsidRPr="00A0184E" w:rsidRDefault="00D82340" w:rsidP="009E2BF4">
            <w:pPr>
              <w:rPr>
                <w:rFonts w:cstheme="minorHAnsi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Lectures and exercises. Students will accomplish a semester project and present results in oral and in writing. The work counts for 60% of the final grade. The lectures are held in English. Retake exams may be oral only.</w:t>
            </w:r>
          </w:p>
        </w:tc>
      </w:tr>
      <w:tr w:rsidR="005E42D1" w:rsidRPr="00A0184E" w:rsidTr="00D82340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A0184E" w:rsidRDefault="005E42D1" w:rsidP="005E42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D82340" w:rsidTr="00381084">
        <w:tc>
          <w:tcPr>
            <w:tcW w:w="2376" w:type="dxa"/>
            <w:gridSpan w:val="3"/>
            <w:shd w:val="clear" w:color="auto" w:fill="auto"/>
            <w:vAlign w:val="center"/>
          </w:tcPr>
          <w:p w:rsidR="00D82340" w:rsidRPr="005E42D1" w:rsidRDefault="00D82340" w:rsidP="00D82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82340" w:rsidRPr="005E42D1" w:rsidRDefault="00D82340" w:rsidP="00D823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D82340" w:rsidTr="00381084">
        <w:tc>
          <w:tcPr>
            <w:tcW w:w="2376" w:type="dxa"/>
            <w:gridSpan w:val="3"/>
            <w:shd w:val="clear" w:color="auto" w:fill="auto"/>
            <w:vAlign w:val="center"/>
          </w:tcPr>
          <w:p w:rsidR="00D82340" w:rsidRPr="00C21CE9" w:rsidRDefault="00D82340" w:rsidP="00D82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82340" w:rsidRDefault="00D82340" w:rsidP="00D823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D82340" w:rsidRPr="00EA0F5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2340" w:rsidRPr="005E42D1" w:rsidRDefault="00D82340" w:rsidP="00D82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A0184E" w:rsidTr="00D82340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A0184E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A0184E" w:rsidTr="00D82340">
        <w:tc>
          <w:tcPr>
            <w:tcW w:w="675" w:type="dxa"/>
            <w:vAlign w:val="center"/>
          </w:tcPr>
          <w:p w:rsidR="005E42D1" w:rsidRPr="00A0184E" w:rsidRDefault="00D02E1F" w:rsidP="00E547F5">
            <w:pPr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5E42D1" w:rsidRPr="00A0184E" w:rsidTr="00D82340">
        <w:tc>
          <w:tcPr>
            <w:tcW w:w="675" w:type="dxa"/>
            <w:vAlign w:val="center"/>
          </w:tcPr>
          <w:p w:rsidR="005E42D1" w:rsidRPr="00A0184E" w:rsidRDefault="005E42D1" w:rsidP="00381084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Henderson F. M.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iCs/>
                <w:sz w:val="16"/>
                <w:szCs w:val="16"/>
              </w:rPr>
              <w:t>Open Channel Flow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Macmillan, New York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1966</w:t>
            </w:r>
          </w:p>
        </w:tc>
      </w:tr>
      <w:tr w:rsidR="00B66AF2" w:rsidRPr="00A0184E" w:rsidTr="00D82340">
        <w:tc>
          <w:tcPr>
            <w:tcW w:w="675" w:type="dxa"/>
            <w:vAlign w:val="center"/>
          </w:tcPr>
          <w:p w:rsidR="00B66AF2" w:rsidRPr="00A0184E" w:rsidRDefault="00B66AF2" w:rsidP="00381084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6AF2" w:rsidRPr="00A0184E" w:rsidRDefault="00B66AF2" w:rsidP="0038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Chow V.T.</w:t>
            </w:r>
          </w:p>
        </w:tc>
        <w:tc>
          <w:tcPr>
            <w:tcW w:w="2435" w:type="dxa"/>
            <w:gridSpan w:val="3"/>
            <w:vAlign w:val="center"/>
          </w:tcPr>
          <w:p w:rsidR="00B66AF2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iCs/>
                <w:sz w:val="16"/>
                <w:szCs w:val="16"/>
              </w:rPr>
              <w:t>Open Channel Hydraulics</w:t>
            </w:r>
            <w:r w:rsidRPr="00A0184E">
              <w:rPr>
                <w:rFonts w:cstheme="minorHAnsi"/>
                <w:sz w:val="16"/>
                <w:szCs w:val="16"/>
              </w:rPr>
              <w:t>,</w:t>
            </w:r>
          </w:p>
        </w:tc>
        <w:tc>
          <w:tcPr>
            <w:tcW w:w="3661" w:type="dxa"/>
            <w:gridSpan w:val="4"/>
            <w:vAlign w:val="center"/>
          </w:tcPr>
          <w:p w:rsidR="00B66AF2" w:rsidRPr="00A0184E" w:rsidRDefault="00B66AF2" w:rsidP="0038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McGraw-Hill.</w:t>
            </w:r>
          </w:p>
          <w:p w:rsidR="00B66AF2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6AF2" w:rsidRPr="00A0184E" w:rsidRDefault="00B66AF2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Fonts w:cstheme="minorHAnsi"/>
                <w:sz w:val="16"/>
                <w:szCs w:val="16"/>
              </w:rPr>
              <w:t>1959</w:t>
            </w:r>
          </w:p>
        </w:tc>
      </w:tr>
      <w:tr w:rsidR="00D82340" w:rsidRPr="00A0184E" w:rsidTr="00134B46">
        <w:tc>
          <w:tcPr>
            <w:tcW w:w="675" w:type="dxa"/>
            <w:vAlign w:val="center"/>
          </w:tcPr>
          <w:p w:rsidR="00D82340" w:rsidRPr="00D82340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D82340" w:rsidRPr="00A0184E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Style w:val="subjectsearched"/>
                <w:rFonts w:cstheme="minorHAnsi"/>
                <w:sz w:val="16"/>
                <w:szCs w:val="16"/>
              </w:rPr>
              <w:t xml:space="preserve">Chow V. T., </w:t>
            </w:r>
            <w:proofErr w:type="spellStart"/>
            <w:r w:rsidRPr="00A0184E">
              <w:rPr>
                <w:rStyle w:val="subjectsearched"/>
                <w:rFonts w:cstheme="minorHAnsi"/>
                <w:sz w:val="16"/>
                <w:szCs w:val="16"/>
              </w:rPr>
              <w:t>Maidment</w:t>
            </w:r>
            <w:proofErr w:type="spellEnd"/>
            <w:r w:rsidRPr="00A0184E">
              <w:rPr>
                <w:rStyle w:val="subjectsearched"/>
                <w:rFonts w:cstheme="minorHAnsi"/>
                <w:sz w:val="16"/>
                <w:szCs w:val="16"/>
              </w:rPr>
              <w:t xml:space="preserve"> D. R., and Mays L. W.</w:t>
            </w:r>
          </w:p>
        </w:tc>
        <w:tc>
          <w:tcPr>
            <w:tcW w:w="2435" w:type="dxa"/>
            <w:gridSpan w:val="3"/>
            <w:vAlign w:val="center"/>
          </w:tcPr>
          <w:p w:rsidR="00D82340" w:rsidRPr="00A0184E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Style w:val="subjectsearched"/>
                <w:rFonts w:cstheme="minorHAnsi"/>
                <w:bCs/>
                <w:sz w:val="16"/>
                <w:szCs w:val="16"/>
              </w:rPr>
              <w:t>Applied Hydrology,</w:t>
            </w:r>
          </w:p>
        </w:tc>
        <w:tc>
          <w:tcPr>
            <w:tcW w:w="3661" w:type="dxa"/>
            <w:gridSpan w:val="4"/>
            <w:vAlign w:val="center"/>
          </w:tcPr>
          <w:p w:rsidR="00D82340" w:rsidRPr="00A0184E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Style w:val="subjectsearched"/>
                <w:rFonts w:cstheme="minorHAnsi"/>
                <w:sz w:val="16"/>
                <w:szCs w:val="16"/>
              </w:rPr>
              <w:t>McGraw-Hill</w:t>
            </w:r>
          </w:p>
        </w:tc>
        <w:tc>
          <w:tcPr>
            <w:tcW w:w="1275" w:type="dxa"/>
            <w:gridSpan w:val="2"/>
            <w:vAlign w:val="center"/>
          </w:tcPr>
          <w:p w:rsidR="00D82340" w:rsidRPr="00A0184E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0184E">
              <w:rPr>
                <w:rStyle w:val="subjectsearched"/>
                <w:rFonts w:cstheme="minorHAnsi"/>
                <w:sz w:val="16"/>
                <w:szCs w:val="16"/>
              </w:rPr>
              <w:t>1988</w:t>
            </w:r>
          </w:p>
        </w:tc>
      </w:tr>
      <w:tr w:rsidR="00D02E1F" w:rsidRPr="00A0184E" w:rsidTr="00D82340">
        <w:tc>
          <w:tcPr>
            <w:tcW w:w="675" w:type="dxa"/>
            <w:vAlign w:val="center"/>
          </w:tcPr>
          <w:p w:rsidR="00D02E1F" w:rsidRPr="00D82340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D02E1F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A0184E" w:rsidRDefault="00D82340" w:rsidP="00381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presentations).</w:t>
            </w:r>
          </w:p>
        </w:tc>
        <w:tc>
          <w:tcPr>
            <w:tcW w:w="1275" w:type="dxa"/>
            <w:gridSpan w:val="2"/>
            <w:vAlign w:val="center"/>
          </w:tcPr>
          <w:p w:rsidR="00D02E1F" w:rsidRPr="00A0184E" w:rsidRDefault="00D02E1F" w:rsidP="003810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381084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381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381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38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381084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 w:rsidP="00381084">
            <w:pPr>
              <w:jc w:val="center"/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3810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381084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3C4C61" w:rsidP="00381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 w:rsidP="00381084">
            <w:pPr>
              <w:jc w:val="center"/>
            </w:pPr>
          </w:p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 w:rsidP="00381084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 w:rsidP="00381084">
      <w:pPr>
        <w:jc w:val="center"/>
      </w:pPr>
    </w:p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FB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4A8"/>
    <w:multiLevelType w:val="hybridMultilevel"/>
    <w:tmpl w:val="6B4CB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3090"/>
    <w:rsid w:val="0008374A"/>
    <w:rsid w:val="001312B9"/>
    <w:rsid w:val="001A7D05"/>
    <w:rsid w:val="001E42A5"/>
    <w:rsid w:val="001F34D7"/>
    <w:rsid w:val="002319BC"/>
    <w:rsid w:val="00255EDE"/>
    <w:rsid w:val="002611DF"/>
    <w:rsid w:val="002821A3"/>
    <w:rsid w:val="00296294"/>
    <w:rsid w:val="002F0738"/>
    <w:rsid w:val="00310BB3"/>
    <w:rsid w:val="00322F84"/>
    <w:rsid w:val="00377577"/>
    <w:rsid w:val="00381084"/>
    <w:rsid w:val="003C4C61"/>
    <w:rsid w:val="00443296"/>
    <w:rsid w:val="004666C8"/>
    <w:rsid w:val="004C1CC6"/>
    <w:rsid w:val="004D4482"/>
    <w:rsid w:val="00513136"/>
    <w:rsid w:val="00535E50"/>
    <w:rsid w:val="005559C8"/>
    <w:rsid w:val="005E42D1"/>
    <w:rsid w:val="005F3808"/>
    <w:rsid w:val="0069788A"/>
    <w:rsid w:val="008364F9"/>
    <w:rsid w:val="008F548C"/>
    <w:rsid w:val="00927F2D"/>
    <w:rsid w:val="00961E50"/>
    <w:rsid w:val="009B28FB"/>
    <w:rsid w:val="009E2BF4"/>
    <w:rsid w:val="00A0184E"/>
    <w:rsid w:val="00AE67EE"/>
    <w:rsid w:val="00B66AF2"/>
    <w:rsid w:val="00C21CE9"/>
    <w:rsid w:val="00CC0E96"/>
    <w:rsid w:val="00CC7AA9"/>
    <w:rsid w:val="00CD3D20"/>
    <w:rsid w:val="00CF2AF4"/>
    <w:rsid w:val="00D02E1F"/>
    <w:rsid w:val="00D21EFD"/>
    <w:rsid w:val="00D554D7"/>
    <w:rsid w:val="00D56F7B"/>
    <w:rsid w:val="00D57E7D"/>
    <w:rsid w:val="00D82340"/>
    <w:rsid w:val="00DF0ABC"/>
    <w:rsid w:val="00E547F5"/>
    <w:rsid w:val="00E83431"/>
    <w:rsid w:val="00F74B6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ubjectsearched">
    <w:name w:val="subjectsearched"/>
    <w:basedOn w:val="DefaultParagraphFont"/>
    <w:rsid w:val="00B6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6</cp:revision>
  <dcterms:created xsi:type="dcterms:W3CDTF">2015-01-20T13:01:00Z</dcterms:created>
  <dcterms:modified xsi:type="dcterms:W3CDTF">2015-01-21T09:30:00Z</dcterms:modified>
</cp:coreProperties>
</file>