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134"/>
        <w:gridCol w:w="567"/>
        <w:gridCol w:w="1186"/>
        <w:gridCol w:w="515"/>
        <w:gridCol w:w="734"/>
        <w:gridCol w:w="1109"/>
        <w:gridCol w:w="1429"/>
        <w:gridCol w:w="414"/>
        <w:gridCol w:w="709"/>
        <w:gridCol w:w="8"/>
        <w:gridCol w:w="1267"/>
      </w:tblGrid>
      <w:tr w:rsidR="009E2BF4" w:rsidRPr="001A48FF" w:rsidTr="00E53EC0">
        <w:trPr>
          <w:trHeight w:val="420"/>
        </w:trPr>
        <w:tc>
          <w:tcPr>
            <w:tcW w:w="1809" w:type="dxa"/>
            <w:gridSpan w:val="2"/>
            <w:shd w:val="clear" w:color="auto" w:fill="C2D69B" w:themeFill="accent3" w:themeFillTint="99"/>
            <w:vAlign w:val="center"/>
          </w:tcPr>
          <w:p w:rsidR="009E2BF4" w:rsidRPr="001A48FF" w:rsidRDefault="009E2BF4" w:rsidP="009E2BF4">
            <w:pPr>
              <w:rPr>
                <w:rFonts w:cstheme="minorHAnsi"/>
                <w:sz w:val="16"/>
                <w:szCs w:val="16"/>
              </w:rPr>
            </w:pPr>
            <w:r w:rsidRPr="001A48FF">
              <w:rPr>
                <w:rFonts w:cstheme="minorHAnsi"/>
                <w:sz w:val="16"/>
                <w:szCs w:val="16"/>
              </w:rPr>
              <w:t>Course:</w:t>
            </w:r>
          </w:p>
        </w:tc>
        <w:tc>
          <w:tcPr>
            <w:tcW w:w="7938" w:type="dxa"/>
            <w:gridSpan w:val="10"/>
            <w:vMerge w:val="restart"/>
            <w:vAlign w:val="center"/>
          </w:tcPr>
          <w:p w:rsidR="009E2BF4" w:rsidRPr="00C059D2" w:rsidRDefault="004271DF" w:rsidP="009E2BF4">
            <w:pPr>
              <w:jc w:val="center"/>
              <w:rPr>
                <w:rFonts w:cstheme="minorHAnsi"/>
                <w:i/>
              </w:rPr>
            </w:pPr>
            <w:r w:rsidRPr="00C059D2">
              <w:rPr>
                <w:rFonts w:cstheme="minorHAnsi"/>
                <w:b/>
                <w:bCs/>
              </w:rPr>
              <w:t>CONTINGENCY PLANNING</w:t>
            </w:r>
          </w:p>
        </w:tc>
      </w:tr>
      <w:tr w:rsidR="009E2BF4" w:rsidRPr="001A48FF" w:rsidTr="00E53EC0">
        <w:tc>
          <w:tcPr>
            <w:tcW w:w="1809" w:type="dxa"/>
            <w:gridSpan w:val="2"/>
            <w:vAlign w:val="center"/>
          </w:tcPr>
          <w:p w:rsidR="009E2BF4" w:rsidRPr="001A48FF" w:rsidRDefault="009E2BF4" w:rsidP="009E2BF4">
            <w:pPr>
              <w:rPr>
                <w:rFonts w:cstheme="minorHAnsi"/>
                <w:sz w:val="16"/>
                <w:szCs w:val="16"/>
              </w:rPr>
            </w:pPr>
            <w:r w:rsidRPr="001A48FF">
              <w:rPr>
                <w:rFonts w:cstheme="minorHAnsi"/>
                <w:sz w:val="16"/>
                <w:szCs w:val="16"/>
              </w:rPr>
              <w:t>Course id:</w:t>
            </w:r>
          </w:p>
        </w:tc>
        <w:tc>
          <w:tcPr>
            <w:tcW w:w="7938" w:type="dxa"/>
            <w:gridSpan w:val="10"/>
            <w:vMerge/>
          </w:tcPr>
          <w:p w:rsidR="009E2BF4" w:rsidRPr="001A48FF" w:rsidRDefault="009E2BF4" w:rsidP="001312B9">
            <w:pPr>
              <w:rPr>
                <w:rFonts w:cstheme="minorHAnsi"/>
                <w:sz w:val="16"/>
                <w:szCs w:val="16"/>
              </w:rPr>
            </w:pPr>
          </w:p>
        </w:tc>
      </w:tr>
      <w:tr w:rsidR="009E2BF4" w:rsidRPr="001A48FF" w:rsidTr="00E53EC0">
        <w:tc>
          <w:tcPr>
            <w:tcW w:w="1809" w:type="dxa"/>
            <w:gridSpan w:val="2"/>
            <w:vAlign w:val="center"/>
          </w:tcPr>
          <w:p w:rsidR="009E2BF4" w:rsidRPr="001A48FF" w:rsidRDefault="009E2BF4" w:rsidP="009E2BF4">
            <w:pPr>
              <w:rPr>
                <w:rFonts w:cstheme="minorHAnsi"/>
                <w:sz w:val="16"/>
                <w:szCs w:val="16"/>
              </w:rPr>
            </w:pPr>
            <w:r w:rsidRPr="001A48FF">
              <w:rPr>
                <w:rFonts w:cstheme="minorHAnsi"/>
                <w:sz w:val="16"/>
                <w:szCs w:val="16"/>
              </w:rPr>
              <w:t>Number of ECTS:</w:t>
            </w:r>
            <w:r w:rsidR="005A5E62">
              <w:rPr>
                <w:rFonts w:cstheme="minorHAnsi"/>
                <w:sz w:val="16"/>
                <w:szCs w:val="16"/>
              </w:rPr>
              <w:t xml:space="preserve">   4</w:t>
            </w:r>
          </w:p>
        </w:tc>
        <w:tc>
          <w:tcPr>
            <w:tcW w:w="7938" w:type="dxa"/>
            <w:gridSpan w:val="10"/>
            <w:vMerge/>
          </w:tcPr>
          <w:p w:rsidR="009E2BF4" w:rsidRPr="001A48FF" w:rsidRDefault="009E2BF4" w:rsidP="001312B9">
            <w:pPr>
              <w:rPr>
                <w:rFonts w:cstheme="minorHAnsi"/>
                <w:sz w:val="16"/>
                <w:szCs w:val="16"/>
              </w:rPr>
            </w:pPr>
          </w:p>
        </w:tc>
      </w:tr>
      <w:tr w:rsidR="002611DF" w:rsidRPr="001A48FF" w:rsidTr="00E53EC0">
        <w:tc>
          <w:tcPr>
            <w:tcW w:w="1809" w:type="dxa"/>
            <w:gridSpan w:val="2"/>
            <w:vAlign w:val="center"/>
          </w:tcPr>
          <w:p w:rsidR="002611DF" w:rsidRPr="001A48FF" w:rsidRDefault="009E2BF4" w:rsidP="009E2BF4">
            <w:pPr>
              <w:rPr>
                <w:rFonts w:cstheme="minorHAnsi"/>
                <w:sz w:val="16"/>
                <w:szCs w:val="16"/>
              </w:rPr>
            </w:pPr>
            <w:r w:rsidRPr="001A48FF">
              <w:rPr>
                <w:rFonts w:cstheme="minorHAnsi"/>
                <w:sz w:val="16"/>
                <w:szCs w:val="16"/>
              </w:rPr>
              <w:t>Teacher:</w:t>
            </w:r>
          </w:p>
        </w:tc>
        <w:tc>
          <w:tcPr>
            <w:tcW w:w="7938" w:type="dxa"/>
            <w:gridSpan w:val="10"/>
          </w:tcPr>
          <w:p w:rsidR="002611DF" w:rsidRPr="00C059D2" w:rsidRDefault="001A48FF" w:rsidP="005A5E62">
            <w:pPr>
              <w:rPr>
                <w:rFonts w:cstheme="minorHAnsi"/>
                <w:sz w:val="20"/>
                <w:szCs w:val="20"/>
              </w:rPr>
            </w:pPr>
            <w:r w:rsidRPr="00C059D2">
              <w:rPr>
                <w:rFonts w:cstheme="minorHAnsi"/>
                <w:sz w:val="20"/>
                <w:szCs w:val="20"/>
              </w:rPr>
              <w:t xml:space="preserve">Christos </w:t>
            </w:r>
            <w:proofErr w:type="spellStart"/>
            <w:r w:rsidRPr="00C059D2">
              <w:rPr>
                <w:rFonts w:cstheme="minorHAnsi"/>
                <w:sz w:val="20"/>
                <w:szCs w:val="20"/>
              </w:rPr>
              <w:t>Karavitis</w:t>
            </w:r>
            <w:proofErr w:type="spellEnd"/>
            <w:r w:rsidRPr="00C059D2">
              <w:rPr>
                <w:rFonts w:cstheme="minorHAnsi"/>
                <w:sz w:val="20"/>
                <w:szCs w:val="20"/>
              </w:rPr>
              <w:t xml:space="preserve">, </w:t>
            </w:r>
            <w:proofErr w:type="spellStart"/>
            <w:r w:rsidR="005A5E62" w:rsidRPr="00C059D2">
              <w:rPr>
                <w:rFonts w:cstheme="minorHAnsi"/>
                <w:sz w:val="20"/>
                <w:szCs w:val="20"/>
              </w:rPr>
              <w:t>Zorica</w:t>
            </w:r>
            <w:proofErr w:type="spellEnd"/>
            <w:r w:rsidRPr="00C059D2">
              <w:rPr>
                <w:rFonts w:cstheme="minorHAnsi"/>
                <w:sz w:val="20"/>
                <w:szCs w:val="20"/>
              </w:rPr>
              <w:t xml:space="preserve"> </w:t>
            </w:r>
            <w:proofErr w:type="spellStart"/>
            <w:r w:rsidRPr="00C059D2">
              <w:rPr>
                <w:rFonts w:cstheme="minorHAnsi"/>
                <w:sz w:val="20"/>
                <w:szCs w:val="20"/>
              </w:rPr>
              <w:t>Srdjevic</w:t>
            </w:r>
            <w:proofErr w:type="spellEnd"/>
          </w:p>
        </w:tc>
      </w:tr>
      <w:tr w:rsidR="00DF0ABC" w:rsidRPr="001A48FF" w:rsidTr="00E53EC0">
        <w:tc>
          <w:tcPr>
            <w:tcW w:w="1809" w:type="dxa"/>
            <w:gridSpan w:val="2"/>
            <w:tcBorders>
              <w:bottom w:val="single" w:sz="4" w:space="0" w:color="auto"/>
            </w:tcBorders>
            <w:vAlign w:val="center"/>
          </w:tcPr>
          <w:p w:rsidR="00DF0ABC" w:rsidRPr="001A48FF" w:rsidRDefault="002611DF" w:rsidP="009E2BF4">
            <w:pPr>
              <w:rPr>
                <w:rFonts w:cstheme="minorHAnsi"/>
                <w:sz w:val="16"/>
                <w:szCs w:val="16"/>
              </w:rPr>
            </w:pPr>
            <w:r w:rsidRPr="001A48FF">
              <w:rPr>
                <w:rFonts w:cstheme="minorHAnsi"/>
                <w:sz w:val="16"/>
                <w:szCs w:val="16"/>
              </w:rPr>
              <w:t>Course s</w:t>
            </w:r>
            <w:r w:rsidR="00AE67EE" w:rsidRPr="001A48FF">
              <w:rPr>
                <w:rFonts w:cstheme="minorHAnsi"/>
                <w:sz w:val="16"/>
                <w:szCs w:val="16"/>
              </w:rPr>
              <w:t>tatus</w:t>
            </w:r>
          </w:p>
        </w:tc>
        <w:tc>
          <w:tcPr>
            <w:tcW w:w="7938" w:type="dxa"/>
            <w:gridSpan w:val="10"/>
            <w:tcBorders>
              <w:bottom w:val="single" w:sz="4" w:space="0" w:color="auto"/>
            </w:tcBorders>
          </w:tcPr>
          <w:p w:rsidR="00DF0ABC" w:rsidRPr="001A48FF" w:rsidRDefault="00AE67EE" w:rsidP="001312B9">
            <w:pPr>
              <w:rPr>
                <w:rFonts w:cstheme="minorHAnsi"/>
                <w:sz w:val="16"/>
                <w:szCs w:val="16"/>
              </w:rPr>
            </w:pPr>
            <w:r w:rsidRPr="001A48FF">
              <w:rPr>
                <w:rFonts w:cstheme="minorHAnsi"/>
                <w:sz w:val="16"/>
                <w:szCs w:val="16"/>
              </w:rPr>
              <w:t>Elective</w:t>
            </w:r>
          </w:p>
        </w:tc>
      </w:tr>
      <w:tr w:rsidR="009E2BF4" w:rsidRPr="001A48FF" w:rsidTr="005A5E62">
        <w:trPr>
          <w:trHeight w:val="227"/>
        </w:trPr>
        <w:tc>
          <w:tcPr>
            <w:tcW w:w="9747" w:type="dxa"/>
            <w:gridSpan w:val="12"/>
            <w:tcBorders>
              <w:bottom w:val="single" w:sz="4" w:space="0" w:color="auto"/>
            </w:tcBorders>
            <w:shd w:val="clear" w:color="auto" w:fill="C2D69B" w:themeFill="accent3" w:themeFillTint="99"/>
            <w:vAlign w:val="center"/>
          </w:tcPr>
          <w:p w:rsidR="009E2BF4" w:rsidRPr="001A48FF" w:rsidRDefault="009E2BF4" w:rsidP="009E2BF4">
            <w:pPr>
              <w:rPr>
                <w:rFonts w:cstheme="minorHAnsi"/>
                <w:sz w:val="16"/>
                <w:szCs w:val="16"/>
              </w:rPr>
            </w:pPr>
            <w:r w:rsidRPr="001A48FF">
              <w:rPr>
                <w:rFonts w:cstheme="minorHAnsi"/>
                <w:sz w:val="16"/>
                <w:szCs w:val="16"/>
              </w:rPr>
              <w:t>Number of active teaching classes (weekly)</w:t>
            </w:r>
          </w:p>
        </w:tc>
      </w:tr>
      <w:tr w:rsidR="009E2BF4" w:rsidRPr="001A48FF" w:rsidTr="00E53EC0">
        <w:trPr>
          <w:trHeight w:val="227"/>
        </w:trPr>
        <w:tc>
          <w:tcPr>
            <w:tcW w:w="1809" w:type="dxa"/>
            <w:gridSpan w:val="2"/>
            <w:tcBorders>
              <w:bottom w:val="single" w:sz="4" w:space="0" w:color="auto"/>
            </w:tcBorders>
            <w:shd w:val="clear" w:color="auto" w:fill="auto"/>
            <w:vAlign w:val="center"/>
          </w:tcPr>
          <w:p w:rsidR="009E2BF4" w:rsidRPr="001A48FF" w:rsidRDefault="009E2BF4" w:rsidP="009E2BF4">
            <w:pPr>
              <w:jc w:val="center"/>
              <w:rPr>
                <w:rFonts w:cstheme="minorHAnsi"/>
                <w:sz w:val="16"/>
                <w:szCs w:val="16"/>
              </w:rPr>
            </w:pPr>
            <w:r w:rsidRPr="001A48FF">
              <w:rPr>
                <w:rFonts w:cstheme="minorHAnsi"/>
                <w:sz w:val="16"/>
                <w:szCs w:val="16"/>
              </w:rPr>
              <w:t>Lectures:</w:t>
            </w:r>
            <w:r w:rsidR="005352C2" w:rsidRPr="001A48FF">
              <w:rPr>
                <w:rFonts w:cstheme="minorHAnsi"/>
                <w:sz w:val="16"/>
                <w:szCs w:val="16"/>
              </w:rPr>
              <w:t>3</w:t>
            </w:r>
          </w:p>
        </w:tc>
        <w:tc>
          <w:tcPr>
            <w:tcW w:w="2268" w:type="dxa"/>
            <w:gridSpan w:val="3"/>
            <w:tcBorders>
              <w:bottom w:val="single" w:sz="4" w:space="0" w:color="auto"/>
            </w:tcBorders>
            <w:shd w:val="clear" w:color="auto" w:fill="auto"/>
            <w:vAlign w:val="center"/>
          </w:tcPr>
          <w:p w:rsidR="009E2BF4" w:rsidRPr="001A48FF" w:rsidRDefault="009E2BF4" w:rsidP="009E2BF4">
            <w:pPr>
              <w:jc w:val="center"/>
              <w:rPr>
                <w:rFonts w:cstheme="minorHAnsi"/>
                <w:sz w:val="16"/>
                <w:szCs w:val="16"/>
              </w:rPr>
            </w:pPr>
            <w:r w:rsidRPr="001A48FF">
              <w:rPr>
                <w:rFonts w:cstheme="minorHAnsi"/>
                <w:sz w:val="16"/>
                <w:szCs w:val="16"/>
              </w:rPr>
              <w:t>Practical classes:</w:t>
            </w:r>
            <w:r w:rsidR="005352C2" w:rsidRPr="001A48FF">
              <w:rPr>
                <w:rFonts w:cstheme="minorHAnsi"/>
                <w:sz w:val="16"/>
                <w:szCs w:val="16"/>
              </w:rPr>
              <w:t>3</w:t>
            </w:r>
          </w:p>
        </w:tc>
        <w:tc>
          <w:tcPr>
            <w:tcW w:w="1843" w:type="dxa"/>
            <w:gridSpan w:val="2"/>
            <w:tcBorders>
              <w:bottom w:val="single" w:sz="4" w:space="0" w:color="auto"/>
            </w:tcBorders>
            <w:shd w:val="clear" w:color="auto" w:fill="auto"/>
            <w:vAlign w:val="center"/>
          </w:tcPr>
          <w:p w:rsidR="009E2BF4" w:rsidRPr="001A48FF" w:rsidRDefault="009E2BF4" w:rsidP="009E2BF4">
            <w:pPr>
              <w:jc w:val="center"/>
              <w:rPr>
                <w:rFonts w:cstheme="minorHAnsi"/>
                <w:sz w:val="16"/>
                <w:szCs w:val="16"/>
              </w:rPr>
            </w:pPr>
            <w:r w:rsidRPr="001A48FF">
              <w:rPr>
                <w:rFonts w:cstheme="minorHAnsi"/>
                <w:sz w:val="16"/>
                <w:szCs w:val="16"/>
              </w:rPr>
              <w:t>Other teaching types:</w:t>
            </w:r>
          </w:p>
        </w:tc>
        <w:tc>
          <w:tcPr>
            <w:tcW w:w="1843" w:type="dxa"/>
            <w:gridSpan w:val="2"/>
            <w:tcBorders>
              <w:bottom w:val="single" w:sz="4" w:space="0" w:color="auto"/>
            </w:tcBorders>
            <w:shd w:val="clear" w:color="auto" w:fill="auto"/>
            <w:vAlign w:val="center"/>
          </w:tcPr>
          <w:p w:rsidR="009E2BF4" w:rsidRPr="001A48FF" w:rsidRDefault="009E2BF4" w:rsidP="009E2BF4">
            <w:pPr>
              <w:jc w:val="center"/>
              <w:rPr>
                <w:rFonts w:cstheme="minorHAnsi"/>
                <w:sz w:val="16"/>
                <w:szCs w:val="16"/>
              </w:rPr>
            </w:pPr>
            <w:r w:rsidRPr="001A48FF">
              <w:rPr>
                <w:rFonts w:cstheme="minorHAnsi"/>
                <w:sz w:val="16"/>
                <w:szCs w:val="16"/>
              </w:rPr>
              <w:t>Study research work:</w:t>
            </w:r>
          </w:p>
        </w:tc>
        <w:tc>
          <w:tcPr>
            <w:tcW w:w="1984" w:type="dxa"/>
            <w:gridSpan w:val="3"/>
            <w:tcBorders>
              <w:bottom w:val="single" w:sz="4" w:space="0" w:color="auto"/>
            </w:tcBorders>
            <w:shd w:val="clear" w:color="auto" w:fill="auto"/>
            <w:vAlign w:val="center"/>
          </w:tcPr>
          <w:p w:rsidR="009E2BF4" w:rsidRPr="001A48FF" w:rsidRDefault="009E2BF4" w:rsidP="009E2BF4">
            <w:pPr>
              <w:jc w:val="center"/>
              <w:rPr>
                <w:rFonts w:cstheme="minorHAnsi"/>
                <w:sz w:val="16"/>
                <w:szCs w:val="16"/>
              </w:rPr>
            </w:pPr>
            <w:r w:rsidRPr="001A48FF">
              <w:rPr>
                <w:rFonts w:cstheme="minorHAnsi"/>
                <w:sz w:val="16"/>
                <w:szCs w:val="16"/>
              </w:rPr>
              <w:t>Other classes:</w:t>
            </w:r>
          </w:p>
        </w:tc>
      </w:tr>
      <w:tr w:rsidR="009E2BF4" w:rsidRPr="001A48FF" w:rsidTr="00E53EC0">
        <w:tc>
          <w:tcPr>
            <w:tcW w:w="1809" w:type="dxa"/>
            <w:gridSpan w:val="2"/>
            <w:shd w:val="clear" w:color="auto" w:fill="C2D69B" w:themeFill="accent3" w:themeFillTint="99"/>
            <w:vAlign w:val="center"/>
          </w:tcPr>
          <w:p w:rsidR="009E2BF4" w:rsidRPr="001A48FF" w:rsidRDefault="009E2BF4" w:rsidP="005E42D1">
            <w:pPr>
              <w:rPr>
                <w:rFonts w:cstheme="minorHAnsi"/>
                <w:sz w:val="16"/>
                <w:szCs w:val="16"/>
              </w:rPr>
            </w:pPr>
            <w:r w:rsidRPr="001A48FF">
              <w:rPr>
                <w:rFonts w:cstheme="minorHAnsi"/>
                <w:sz w:val="16"/>
                <w:szCs w:val="16"/>
              </w:rPr>
              <w:t>Precondition courses</w:t>
            </w:r>
          </w:p>
        </w:tc>
        <w:tc>
          <w:tcPr>
            <w:tcW w:w="7938" w:type="dxa"/>
            <w:gridSpan w:val="10"/>
            <w:shd w:val="clear" w:color="auto" w:fill="C2D69B" w:themeFill="accent3" w:themeFillTint="99"/>
            <w:vAlign w:val="center"/>
          </w:tcPr>
          <w:p w:rsidR="009E2BF4" w:rsidRPr="001A48FF" w:rsidRDefault="005352C2" w:rsidP="005E42D1">
            <w:pPr>
              <w:rPr>
                <w:rFonts w:cstheme="minorHAnsi"/>
                <w:sz w:val="16"/>
                <w:szCs w:val="16"/>
              </w:rPr>
            </w:pPr>
            <w:r w:rsidRPr="001A48FF">
              <w:rPr>
                <w:rFonts w:cstheme="minorHAnsi"/>
                <w:bCs/>
                <w:sz w:val="16"/>
                <w:szCs w:val="16"/>
              </w:rPr>
              <w:t>Water resources planning and management.</w:t>
            </w:r>
          </w:p>
        </w:tc>
      </w:tr>
      <w:tr w:rsidR="005E42D1" w:rsidRPr="001A48FF" w:rsidTr="005A5E62">
        <w:tc>
          <w:tcPr>
            <w:tcW w:w="9747" w:type="dxa"/>
            <w:gridSpan w:val="12"/>
          </w:tcPr>
          <w:p w:rsidR="005E42D1" w:rsidRPr="001A48FF" w:rsidRDefault="005E42D1" w:rsidP="005E42D1">
            <w:pPr>
              <w:pStyle w:val="ListParagraph"/>
              <w:numPr>
                <w:ilvl w:val="0"/>
                <w:numId w:val="3"/>
              </w:numPr>
              <w:ind w:left="284" w:hanging="284"/>
              <w:rPr>
                <w:rFonts w:cstheme="minorHAnsi"/>
                <w:sz w:val="16"/>
                <w:szCs w:val="16"/>
              </w:rPr>
            </w:pPr>
            <w:r w:rsidRPr="001A48FF">
              <w:rPr>
                <w:rFonts w:cstheme="minorHAnsi"/>
                <w:sz w:val="16"/>
                <w:szCs w:val="16"/>
              </w:rPr>
              <w:t>Educational goal</w:t>
            </w:r>
          </w:p>
          <w:p w:rsidR="005E42D1" w:rsidRPr="001A48FF" w:rsidRDefault="005352C2" w:rsidP="009E2BF4">
            <w:pPr>
              <w:rPr>
                <w:rFonts w:cstheme="minorHAnsi"/>
                <w:sz w:val="16"/>
                <w:szCs w:val="16"/>
              </w:rPr>
            </w:pPr>
            <w:r w:rsidRPr="001A48FF">
              <w:rPr>
                <w:rFonts w:cstheme="minorHAnsi"/>
                <w:sz w:val="16"/>
                <w:szCs w:val="16"/>
              </w:rPr>
              <w:t>Technology and Society. Impact assessment and forecasting. Technology assessment. Planning methodology. Developing Assessment Strategies. Forecasting processes. Consensus Methodologies. Monitoring trends and Environmental Scanning. Risk Assessment. Decision making and Implementation. Coping with technology and the future</w:t>
            </w:r>
          </w:p>
        </w:tc>
      </w:tr>
      <w:tr w:rsidR="005E42D1" w:rsidRPr="001A48FF" w:rsidTr="005A5E62">
        <w:tc>
          <w:tcPr>
            <w:tcW w:w="9747" w:type="dxa"/>
            <w:gridSpan w:val="12"/>
          </w:tcPr>
          <w:p w:rsidR="005E42D1" w:rsidRPr="001A48FF" w:rsidRDefault="005E42D1" w:rsidP="005E42D1">
            <w:pPr>
              <w:pStyle w:val="ListParagraph"/>
              <w:numPr>
                <w:ilvl w:val="0"/>
                <w:numId w:val="3"/>
              </w:numPr>
              <w:ind w:left="284" w:hanging="284"/>
              <w:rPr>
                <w:rFonts w:cstheme="minorHAnsi"/>
                <w:sz w:val="16"/>
                <w:szCs w:val="16"/>
              </w:rPr>
            </w:pPr>
            <w:r w:rsidRPr="001A48FF">
              <w:rPr>
                <w:rFonts w:cstheme="minorHAnsi"/>
                <w:sz w:val="16"/>
                <w:szCs w:val="16"/>
              </w:rPr>
              <w:t>Educational outcomes</w:t>
            </w:r>
          </w:p>
          <w:p w:rsidR="005E42D1" w:rsidRPr="001A48FF" w:rsidRDefault="005352C2" w:rsidP="009E2BF4">
            <w:pPr>
              <w:rPr>
                <w:rFonts w:cstheme="minorHAnsi"/>
                <w:sz w:val="16"/>
                <w:szCs w:val="16"/>
              </w:rPr>
            </w:pPr>
            <w:r w:rsidRPr="001A48FF">
              <w:rPr>
                <w:rFonts w:cstheme="minorHAnsi"/>
                <w:sz w:val="16"/>
                <w:szCs w:val="16"/>
              </w:rPr>
              <w:t>On successful completion of this subject, the students should have acquired understanding of planning under uncertainty in different technological and societal frameworks. Consensus methodologies and developing strategies will be understood as well as approaches in coping with future and imposed risks.</w:t>
            </w:r>
          </w:p>
        </w:tc>
      </w:tr>
      <w:tr w:rsidR="005E42D1" w:rsidRPr="001A48FF" w:rsidTr="005A5E62">
        <w:tc>
          <w:tcPr>
            <w:tcW w:w="9747" w:type="dxa"/>
            <w:gridSpan w:val="12"/>
          </w:tcPr>
          <w:p w:rsidR="005E42D1" w:rsidRPr="001A48FF" w:rsidRDefault="005E42D1" w:rsidP="005E42D1">
            <w:pPr>
              <w:pStyle w:val="ListParagraph"/>
              <w:numPr>
                <w:ilvl w:val="0"/>
                <w:numId w:val="3"/>
              </w:numPr>
              <w:ind w:left="284" w:hanging="284"/>
              <w:rPr>
                <w:rFonts w:cstheme="minorHAnsi"/>
                <w:sz w:val="16"/>
                <w:szCs w:val="16"/>
              </w:rPr>
            </w:pPr>
            <w:r w:rsidRPr="001A48FF">
              <w:rPr>
                <w:rFonts w:cstheme="minorHAnsi"/>
                <w:sz w:val="16"/>
                <w:szCs w:val="16"/>
              </w:rPr>
              <w:t>Course content</w:t>
            </w:r>
          </w:p>
          <w:p w:rsidR="005E42D1" w:rsidRPr="001A48FF" w:rsidRDefault="005352C2" w:rsidP="009E2BF4">
            <w:pPr>
              <w:rPr>
                <w:rFonts w:cstheme="minorHAnsi"/>
                <w:sz w:val="16"/>
                <w:szCs w:val="16"/>
              </w:rPr>
            </w:pPr>
            <w:r w:rsidRPr="001A48FF">
              <w:rPr>
                <w:rFonts w:cstheme="minorHAnsi"/>
                <w:sz w:val="16"/>
                <w:szCs w:val="16"/>
              </w:rPr>
              <w:t>Planning methodology, Interrelationship between technology and society emphasizing procedures for evaluating impacts and forecasting alternatives.</w:t>
            </w:r>
          </w:p>
        </w:tc>
      </w:tr>
      <w:tr w:rsidR="005E42D1" w:rsidRPr="001A48FF" w:rsidTr="005A5E62">
        <w:tc>
          <w:tcPr>
            <w:tcW w:w="9747" w:type="dxa"/>
            <w:gridSpan w:val="12"/>
            <w:tcBorders>
              <w:bottom w:val="single" w:sz="4" w:space="0" w:color="auto"/>
            </w:tcBorders>
          </w:tcPr>
          <w:p w:rsidR="005E42D1" w:rsidRPr="001A48FF" w:rsidRDefault="005E42D1" w:rsidP="005E42D1">
            <w:pPr>
              <w:pStyle w:val="ListParagraph"/>
              <w:numPr>
                <w:ilvl w:val="0"/>
                <w:numId w:val="3"/>
              </w:numPr>
              <w:ind w:left="284" w:hanging="284"/>
              <w:rPr>
                <w:rFonts w:cstheme="minorHAnsi"/>
                <w:sz w:val="16"/>
                <w:szCs w:val="16"/>
              </w:rPr>
            </w:pPr>
            <w:r w:rsidRPr="001A48FF">
              <w:rPr>
                <w:rFonts w:cstheme="minorHAnsi"/>
                <w:sz w:val="16"/>
                <w:szCs w:val="16"/>
              </w:rPr>
              <w:t>Teaching methods</w:t>
            </w:r>
          </w:p>
          <w:p w:rsidR="005E42D1" w:rsidRPr="001A48FF" w:rsidRDefault="005A5E62" w:rsidP="005352C2">
            <w:pPr>
              <w:jc w:val="both"/>
              <w:rPr>
                <w:rFonts w:cstheme="minorHAnsi"/>
                <w:sz w:val="16"/>
                <w:szCs w:val="16"/>
              </w:rPr>
            </w:pPr>
            <w:r w:rsidRPr="00EA0F51">
              <w:rPr>
                <w:rFonts w:ascii="Calibri" w:eastAsia="Calibri" w:hAnsi="Calibri" w:cs="Times New Roman"/>
                <w:bCs/>
                <w:sz w:val="16"/>
                <w:szCs w:val="16"/>
              </w:rPr>
              <w:t>Lectures and exercises. Students will accomplish a semester project and present results in oral and in writing. The work counts for 60% of the final grade. The lectures are held in English. Retake exams may be oral only.</w:t>
            </w:r>
          </w:p>
        </w:tc>
      </w:tr>
      <w:tr w:rsidR="005E42D1" w:rsidRPr="001A48FF" w:rsidTr="005A5E62">
        <w:tc>
          <w:tcPr>
            <w:tcW w:w="9747" w:type="dxa"/>
            <w:gridSpan w:val="12"/>
            <w:tcBorders>
              <w:bottom w:val="single" w:sz="4" w:space="0" w:color="auto"/>
            </w:tcBorders>
            <w:shd w:val="clear" w:color="auto" w:fill="C2D69B" w:themeFill="accent3" w:themeFillTint="99"/>
            <w:vAlign w:val="center"/>
          </w:tcPr>
          <w:p w:rsidR="005E42D1" w:rsidRPr="001A48FF" w:rsidRDefault="005E42D1" w:rsidP="005E42D1">
            <w:pPr>
              <w:jc w:val="center"/>
              <w:rPr>
                <w:rFonts w:cstheme="minorHAnsi"/>
                <w:sz w:val="16"/>
                <w:szCs w:val="16"/>
              </w:rPr>
            </w:pPr>
            <w:r w:rsidRPr="001A48FF">
              <w:rPr>
                <w:rFonts w:cstheme="minorHAnsi"/>
                <w:sz w:val="16"/>
                <w:szCs w:val="16"/>
              </w:rPr>
              <w:t>Knowledge evaluation (maximum 100 points)</w:t>
            </w:r>
          </w:p>
        </w:tc>
      </w:tr>
      <w:tr w:rsidR="005A5E62" w:rsidTr="000505B8">
        <w:tc>
          <w:tcPr>
            <w:tcW w:w="2376" w:type="dxa"/>
            <w:gridSpan w:val="3"/>
            <w:shd w:val="clear" w:color="auto" w:fill="auto"/>
            <w:vAlign w:val="center"/>
          </w:tcPr>
          <w:p w:rsidR="005A5E62" w:rsidRPr="005E42D1" w:rsidRDefault="005A5E62" w:rsidP="005A5E62">
            <w:pPr>
              <w:rPr>
                <w:rFonts w:ascii="Arial" w:hAnsi="Arial" w:cs="Arial"/>
                <w:sz w:val="16"/>
                <w:szCs w:val="16"/>
              </w:rPr>
            </w:pPr>
            <w:r>
              <w:rPr>
                <w:rFonts w:ascii="Arial" w:hAnsi="Arial" w:cs="Arial"/>
                <w:sz w:val="16"/>
                <w:szCs w:val="16"/>
              </w:rPr>
              <w:t>Pre-examination obligations</w:t>
            </w:r>
          </w:p>
        </w:tc>
        <w:tc>
          <w:tcPr>
            <w:tcW w:w="1186" w:type="dxa"/>
            <w:shd w:val="clear" w:color="auto" w:fill="auto"/>
            <w:vAlign w:val="center"/>
          </w:tcPr>
          <w:p w:rsidR="005A5E62" w:rsidRPr="005E42D1" w:rsidRDefault="005A5E62" w:rsidP="005A5E62">
            <w:pPr>
              <w:rPr>
                <w:rFonts w:ascii="Arial" w:hAnsi="Arial" w:cs="Arial"/>
                <w:sz w:val="16"/>
                <w:szCs w:val="16"/>
              </w:rPr>
            </w:pPr>
            <w:r>
              <w:rPr>
                <w:rFonts w:ascii="Arial" w:hAnsi="Arial" w:cs="Arial"/>
                <w:sz w:val="16"/>
                <w:szCs w:val="16"/>
              </w:rPr>
              <w:t>Mandatory</w:t>
            </w:r>
          </w:p>
        </w:tc>
        <w:tc>
          <w:tcPr>
            <w:tcW w:w="1249" w:type="dxa"/>
            <w:gridSpan w:val="2"/>
            <w:shd w:val="clear" w:color="auto" w:fill="auto"/>
            <w:vAlign w:val="center"/>
          </w:tcPr>
          <w:p w:rsidR="005A5E62" w:rsidRPr="005E42D1" w:rsidRDefault="005A5E62" w:rsidP="005A5E62">
            <w:pPr>
              <w:jc w:val="center"/>
              <w:rPr>
                <w:rFonts w:ascii="Arial" w:hAnsi="Arial" w:cs="Arial"/>
                <w:sz w:val="16"/>
                <w:szCs w:val="16"/>
              </w:rPr>
            </w:pPr>
            <w:r>
              <w:rPr>
                <w:rFonts w:ascii="Arial" w:hAnsi="Arial" w:cs="Arial"/>
                <w:sz w:val="16"/>
                <w:szCs w:val="16"/>
              </w:rPr>
              <w:t>Points</w:t>
            </w:r>
          </w:p>
        </w:tc>
        <w:tc>
          <w:tcPr>
            <w:tcW w:w="2538" w:type="dxa"/>
            <w:gridSpan w:val="2"/>
            <w:shd w:val="clear" w:color="auto" w:fill="auto"/>
            <w:vAlign w:val="center"/>
          </w:tcPr>
          <w:p w:rsidR="005A5E62" w:rsidRPr="005E42D1" w:rsidRDefault="005A5E62" w:rsidP="005A5E62">
            <w:pPr>
              <w:jc w:val="center"/>
              <w:rPr>
                <w:rFonts w:ascii="Arial" w:hAnsi="Arial" w:cs="Arial"/>
                <w:sz w:val="16"/>
                <w:szCs w:val="16"/>
              </w:rPr>
            </w:pPr>
            <w:r>
              <w:rPr>
                <w:rFonts w:ascii="Arial" w:hAnsi="Arial" w:cs="Arial"/>
                <w:sz w:val="16"/>
                <w:szCs w:val="16"/>
              </w:rPr>
              <w:t>Final exam</w:t>
            </w:r>
          </w:p>
        </w:tc>
        <w:tc>
          <w:tcPr>
            <w:tcW w:w="1131" w:type="dxa"/>
            <w:gridSpan w:val="3"/>
            <w:shd w:val="clear" w:color="auto" w:fill="auto"/>
            <w:vAlign w:val="center"/>
          </w:tcPr>
          <w:p w:rsidR="005A5E62" w:rsidRPr="005E42D1" w:rsidRDefault="005A5E62" w:rsidP="005A5E62">
            <w:pPr>
              <w:jc w:val="center"/>
              <w:rPr>
                <w:rFonts w:ascii="Arial" w:hAnsi="Arial" w:cs="Arial"/>
                <w:sz w:val="16"/>
                <w:szCs w:val="16"/>
              </w:rPr>
            </w:pPr>
            <w:r>
              <w:rPr>
                <w:rFonts w:ascii="Arial" w:hAnsi="Arial" w:cs="Arial"/>
                <w:sz w:val="16"/>
                <w:szCs w:val="16"/>
              </w:rPr>
              <w:t>Mandatory</w:t>
            </w:r>
          </w:p>
        </w:tc>
        <w:tc>
          <w:tcPr>
            <w:tcW w:w="1267" w:type="dxa"/>
            <w:shd w:val="clear" w:color="auto" w:fill="auto"/>
            <w:vAlign w:val="center"/>
          </w:tcPr>
          <w:p w:rsidR="005A5E62" w:rsidRPr="005E42D1" w:rsidRDefault="005A5E62" w:rsidP="005A5E62">
            <w:pPr>
              <w:jc w:val="center"/>
              <w:rPr>
                <w:rFonts w:ascii="Arial" w:hAnsi="Arial" w:cs="Arial"/>
                <w:sz w:val="16"/>
                <w:szCs w:val="16"/>
              </w:rPr>
            </w:pPr>
            <w:r>
              <w:rPr>
                <w:rFonts w:ascii="Arial" w:hAnsi="Arial" w:cs="Arial"/>
                <w:sz w:val="16"/>
                <w:szCs w:val="16"/>
              </w:rPr>
              <w:t>Points</w:t>
            </w:r>
          </w:p>
        </w:tc>
      </w:tr>
      <w:tr w:rsidR="005A5E62" w:rsidTr="000505B8">
        <w:tc>
          <w:tcPr>
            <w:tcW w:w="2376" w:type="dxa"/>
            <w:gridSpan w:val="3"/>
            <w:shd w:val="clear" w:color="auto" w:fill="auto"/>
            <w:vAlign w:val="center"/>
          </w:tcPr>
          <w:p w:rsidR="005A5E62" w:rsidRPr="00C21CE9" w:rsidRDefault="005A5E62" w:rsidP="005A5E62">
            <w:pPr>
              <w:rPr>
                <w:sz w:val="18"/>
                <w:szCs w:val="18"/>
              </w:rPr>
            </w:pPr>
            <w:r>
              <w:rPr>
                <w:sz w:val="18"/>
                <w:szCs w:val="18"/>
              </w:rPr>
              <w:t>Assignments</w:t>
            </w:r>
          </w:p>
        </w:tc>
        <w:tc>
          <w:tcPr>
            <w:tcW w:w="1186" w:type="dxa"/>
            <w:shd w:val="clear" w:color="auto" w:fill="auto"/>
            <w:vAlign w:val="center"/>
          </w:tcPr>
          <w:p w:rsidR="005A5E62" w:rsidRDefault="005A5E62" w:rsidP="005A5E62">
            <w:pPr>
              <w:jc w:val="center"/>
            </w:pPr>
            <w:r>
              <w:rPr>
                <w:rFonts w:ascii="Arial" w:hAnsi="Arial" w:cs="Arial"/>
                <w:sz w:val="16"/>
                <w:szCs w:val="16"/>
              </w:rPr>
              <w:t>Yes</w:t>
            </w:r>
          </w:p>
        </w:tc>
        <w:tc>
          <w:tcPr>
            <w:tcW w:w="1249" w:type="dxa"/>
            <w:gridSpan w:val="2"/>
            <w:shd w:val="clear" w:color="auto" w:fill="auto"/>
            <w:vAlign w:val="center"/>
          </w:tcPr>
          <w:p w:rsidR="005A5E62" w:rsidRPr="005E42D1" w:rsidRDefault="005A5E62" w:rsidP="005A5E62">
            <w:pPr>
              <w:jc w:val="center"/>
              <w:rPr>
                <w:rFonts w:ascii="Arial" w:hAnsi="Arial" w:cs="Arial"/>
                <w:sz w:val="16"/>
                <w:szCs w:val="16"/>
              </w:rPr>
            </w:pPr>
            <w:r>
              <w:rPr>
                <w:rFonts w:ascii="Arial" w:hAnsi="Arial" w:cs="Arial"/>
                <w:sz w:val="16"/>
                <w:szCs w:val="16"/>
              </w:rPr>
              <w:t>60</w:t>
            </w:r>
          </w:p>
        </w:tc>
        <w:tc>
          <w:tcPr>
            <w:tcW w:w="2538" w:type="dxa"/>
            <w:gridSpan w:val="2"/>
            <w:shd w:val="clear" w:color="auto" w:fill="auto"/>
            <w:vAlign w:val="center"/>
          </w:tcPr>
          <w:p w:rsidR="005A5E62" w:rsidRPr="00EA0F51" w:rsidRDefault="005A5E62" w:rsidP="005A5E62">
            <w:pPr>
              <w:jc w:val="center"/>
              <w:rPr>
                <w:rFonts w:ascii="Arial" w:hAnsi="Arial" w:cs="Arial"/>
                <w:sz w:val="16"/>
                <w:szCs w:val="16"/>
              </w:rPr>
            </w:pPr>
            <w:r w:rsidRPr="00EA0F51">
              <w:rPr>
                <w:rFonts w:ascii="Arial" w:hAnsi="Arial" w:cs="Arial"/>
                <w:sz w:val="16"/>
                <w:szCs w:val="16"/>
              </w:rPr>
              <w:t>Written</w:t>
            </w:r>
            <w:r>
              <w:rPr>
                <w:rFonts w:ascii="Arial" w:hAnsi="Arial" w:cs="Arial"/>
                <w:sz w:val="16"/>
                <w:szCs w:val="16"/>
              </w:rPr>
              <w:t xml:space="preserve"> and Oral</w:t>
            </w:r>
          </w:p>
        </w:tc>
        <w:tc>
          <w:tcPr>
            <w:tcW w:w="1131" w:type="dxa"/>
            <w:gridSpan w:val="3"/>
            <w:shd w:val="clear" w:color="auto" w:fill="auto"/>
            <w:vAlign w:val="center"/>
          </w:tcPr>
          <w:p w:rsidR="005A5E62" w:rsidRPr="005E42D1" w:rsidRDefault="005A5E62" w:rsidP="005A5E62">
            <w:pPr>
              <w:jc w:val="center"/>
              <w:rPr>
                <w:rFonts w:ascii="Arial" w:hAnsi="Arial" w:cs="Arial"/>
                <w:sz w:val="16"/>
                <w:szCs w:val="16"/>
              </w:rPr>
            </w:pPr>
            <w:r>
              <w:rPr>
                <w:rFonts w:ascii="Arial" w:hAnsi="Arial" w:cs="Arial"/>
                <w:sz w:val="16"/>
                <w:szCs w:val="16"/>
              </w:rPr>
              <w:t>Yes</w:t>
            </w:r>
          </w:p>
        </w:tc>
        <w:tc>
          <w:tcPr>
            <w:tcW w:w="1267" w:type="dxa"/>
            <w:shd w:val="clear" w:color="auto" w:fill="auto"/>
            <w:vAlign w:val="center"/>
          </w:tcPr>
          <w:p w:rsidR="005A5E62" w:rsidRPr="005E42D1" w:rsidRDefault="005A5E62" w:rsidP="005A5E62">
            <w:pPr>
              <w:jc w:val="center"/>
              <w:rPr>
                <w:rFonts w:ascii="Arial" w:hAnsi="Arial" w:cs="Arial"/>
                <w:sz w:val="16"/>
                <w:szCs w:val="16"/>
              </w:rPr>
            </w:pPr>
            <w:r>
              <w:rPr>
                <w:rFonts w:ascii="Arial" w:hAnsi="Arial" w:cs="Arial"/>
                <w:sz w:val="16"/>
                <w:szCs w:val="16"/>
              </w:rPr>
              <w:t>40</w:t>
            </w:r>
          </w:p>
        </w:tc>
      </w:tr>
      <w:tr w:rsidR="00D02E1F" w:rsidRPr="001A48FF" w:rsidTr="005A5E62">
        <w:tc>
          <w:tcPr>
            <w:tcW w:w="9747" w:type="dxa"/>
            <w:gridSpan w:val="12"/>
            <w:shd w:val="clear" w:color="auto" w:fill="C2D69B" w:themeFill="accent3" w:themeFillTint="99"/>
            <w:vAlign w:val="center"/>
          </w:tcPr>
          <w:p w:rsidR="00D02E1F" w:rsidRPr="001A48FF" w:rsidRDefault="00D02E1F" w:rsidP="00D02E1F">
            <w:pPr>
              <w:jc w:val="center"/>
              <w:rPr>
                <w:rFonts w:cstheme="minorHAnsi"/>
                <w:sz w:val="16"/>
                <w:szCs w:val="16"/>
              </w:rPr>
            </w:pPr>
            <w:r w:rsidRPr="001A48FF">
              <w:rPr>
                <w:rFonts w:cstheme="minorHAnsi"/>
                <w:sz w:val="16"/>
                <w:szCs w:val="16"/>
              </w:rPr>
              <w:t xml:space="preserve">Literature </w:t>
            </w:r>
          </w:p>
        </w:tc>
      </w:tr>
      <w:tr w:rsidR="005E42D1" w:rsidRPr="001A48FF" w:rsidTr="005A5E62">
        <w:tc>
          <w:tcPr>
            <w:tcW w:w="675" w:type="dxa"/>
            <w:vAlign w:val="center"/>
          </w:tcPr>
          <w:p w:rsidR="005E42D1" w:rsidRPr="001A48FF" w:rsidRDefault="00D02E1F" w:rsidP="00D02E1F">
            <w:pPr>
              <w:jc w:val="center"/>
              <w:rPr>
                <w:rFonts w:cstheme="minorHAnsi"/>
                <w:sz w:val="16"/>
                <w:szCs w:val="16"/>
              </w:rPr>
            </w:pPr>
            <w:r w:rsidRPr="001A48FF">
              <w:rPr>
                <w:rFonts w:cstheme="minorHAnsi"/>
                <w:sz w:val="16"/>
                <w:szCs w:val="16"/>
              </w:rPr>
              <w:t>Ord.</w:t>
            </w:r>
          </w:p>
        </w:tc>
        <w:tc>
          <w:tcPr>
            <w:tcW w:w="1701" w:type="dxa"/>
            <w:gridSpan w:val="2"/>
            <w:vAlign w:val="center"/>
          </w:tcPr>
          <w:p w:rsidR="005E42D1" w:rsidRPr="001A48FF" w:rsidRDefault="00D02E1F" w:rsidP="00D02E1F">
            <w:pPr>
              <w:jc w:val="center"/>
              <w:rPr>
                <w:rFonts w:cstheme="minorHAnsi"/>
                <w:sz w:val="16"/>
                <w:szCs w:val="16"/>
              </w:rPr>
            </w:pPr>
            <w:r w:rsidRPr="001A48FF">
              <w:rPr>
                <w:rFonts w:cstheme="minorHAnsi"/>
                <w:sz w:val="16"/>
                <w:szCs w:val="16"/>
              </w:rPr>
              <w:t>Author</w:t>
            </w:r>
          </w:p>
        </w:tc>
        <w:tc>
          <w:tcPr>
            <w:tcW w:w="2435" w:type="dxa"/>
            <w:gridSpan w:val="3"/>
            <w:vAlign w:val="center"/>
          </w:tcPr>
          <w:p w:rsidR="005E42D1" w:rsidRPr="001A48FF" w:rsidRDefault="00D02E1F" w:rsidP="00D02E1F">
            <w:pPr>
              <w:jc w:val="center"/>
              <w:rPr>
                <w:rFonts w:cstheme="minorHAnsi"/>
                <w:sz w:val="16"/>
                <w:szCs w:val="16"/>
              </w:rPr>
            </w:pPr>
            <w:r w:rsidRPr="001A48FF">
              <w:rPr>
                <w:rFonts w:cstheme="minorHAnsi"/>
                <w:sz w:val="16"/>
                <w:szCs w:val="16"/>
              </w:rPr>
              <w:t>Title</w:t>
            </w:r>
          </w:p>
        </w:tc>
        <w:tc>
          <w:tcPr>
            <w:tcW w:w="3661" w:type="dxa"/>
            <w:gridSpan w:val="4"/>
            <w:vAlign w:val="center"/>
          </w:tcPr>
          <w:p w:rsidR="005E42D1" w:rsidRPr="001A48FF" w:rsidRDefault="00D02E1F" w:rsidP="00D02E1F">
            <w:pPr>
              <w:jc w:val="center"/>
              <w:rPr>
                <w:rFonts w:cstheme="minorHAnsi"/>
                <w:sz w:val="16"/>
                <w:szCs w:val="16"/>
              </w:rPr>
            </w:pPr>
            <w:r w:rsidRPr="001A48FF">
              <w:rPr>
                <w:rFonts w:cstheme="minorHAnsi"/>
                <w:sz w:val="16"/>
                <w:szCs w:val="16"/>
              </w:rPr>
              <w:t>Publisher</w:t>
            </w:r>
          </w:p>
        </w:tc>
        <w:tc>
          <w:tcPr>
            <w:tcW w:w="1275" w:type="dxa"/>
            <w:gridSpan w:val="2"/>
            <w:vAlign w:val="center"/>
          </w:tcPr>
          <w:p w:rsidR="005E42D1" w:rsidRPr="001A48FF" w:rsidRDefault="00D02E1F" w:rsidP="00D02E1F">
            <w:pPr>
              <w:jc w:val="center"/>
              <w:rPr>
                <w:rFonts w:cstheme="minorHAnsi"/>
                <w:sz w:val="16"/>
                <w:szCs w:val="16"/>
              </w:rPr>
            </w:pPr>
            <w:r w:rsidRPr="001A48FF">
              <w:rPr>
                <w:rFonts w:cstheme="minorHAnsi"/>
                <w:sz w:val="16"/>
                <w:szCs w:val="16"/>
              </w:rPr>
              <w:t>Year</w:t>
            </w:r>
          </w:p>
        </w:tc>
      </w:tr>
      <w:tr w:rsidR="005E42D1" w:rsidRPr="001A48FF" w:rsidTr="005A5E62">
        <w:tc>
          <w:tcPr>
            <w:tcW w:w="675" w:type="dxa"/>
            <w:vAlign w:val="center"/>
          </w:tcPr>
          <w:p w:rsidR="005E42D1" w:rsidRPr="001A48FF" w:rsidRDefault="005E42D1" w:rsidP="005A5E62">
            <w:pPr>
              <w:pStyle w:val="ListParagraph"/>
              <w:numPr>
                <w:ilvl w:val="0"/>
                <w:numId w:val="4"/>
              </w:numPr>
              <w:ind w:left="0" w:firstLine="0"/>
              <w:rPr>
                <w:rFonts w:cstheme="minorHAnsi"/>
                <w:sz w:val="16"/>
                <w:szCs w:val="16"/>
              </w:rPr>
            </w:pPr>
          </w:p>
        </w:tc>
        <w:tc>
          <w:tcPr>
            <w:tcW w:w="1701" w:type="dxa"/>
            <w:gridSpan w:val="2"/>
            <w:vAlign w:val="center"/>
          </w:tcPr>
          <w:p w:rsidR="005E42D1" w:rsidRPr="001A48FF" w:rsidRDefault="005352C2" w:rsidP="000505B8">
            <w:pPr>
              <w:widowControl w:val="0"/>
              <w:autoSpaceDE w:val="0"/>
              <w:autoSpaceDN w:val="0"/>
              <w:adjustRightInd w:val="0"/>
              <w:ind w:left="-108" w:right="-108"/>
              <w:jc w:val="center"/>
              <w:rPr>
                <w:rFonts w:cstheme="minorHAnsi"/>
                <w:sz w:val="16"/>
                <w:szCs w:val="16"/>
              </w:rPr>
            </w:pPr>
            <w:proofErr w:type="spellStart"/>
            <w:r w:rsidRPr="001A48FF">
              <w:rPr>
                <w:rFonts w:cstheme="minorHAnsi"/>
                <w:sz w:val="16"/>
                <w:szCs w:val="16"/>
              </w:rPr>
              <w:t>Lippincort</w:t>
            </w:r>
            <w:proofErr w:type="spellEnd"/>
            <w:r w:rsidRPr="001A48FF">
              <w:rPr>
                <w:rFonts w:cstheme="minorHAnsi"/>
                <w:sz w:val="16"/>
                <w:szCs w:val="16"/>
              </w:rPr>
              <w:t xml:space="preserve"> K., Eco U., and </w:t>
            </w:r>
            <w:proofErr w:type="spellStart"/>
            <w:r w:rsidRPr="001A48FF">
              <w:rPr>
                <w:rFonts w:cstheme="minorHAnsi"/>
                <w:sz w:val="16"/>
                <w:szCs w:val="16"/>
              </w:rPr>
              <w:t>Gombrich</w:t>
            </w:r>
            <w:proofErr w:type="spellEnd"/>
            <w:r w:rsidRPr="001A48FF">
              <w:rPr>
                <w:rFonts w:cstheme="minorHAnsi"/>
                <w:sz w:val="16"/>
                <w:szCs w:val="16"/>
              </w:rPr>
              <w:t xml:space="preserve"> E.H.</w:t>
            </w:r>
          </w:p>
        </w:tc>
        <w:tc>
          <w:tcPr>
            <w:tcW w:w="2435" w:type="dxa"/>
            <w:gridSpan w:val="3"/>
            <w:vAlign w:val="center"/>
          </w:tcPr>
          <w:p w:rsidR="005E42D1" w:rsidRPr="001A48FF" w:rsidRDefault="005352C2" w:rsidP="000505B8">
            <w:pPr>
              <w:jc w:val="center"/>
              <w:rPr>
                <w:rFonts w:cstheme="minorHAnsi"/>
                <w:sz w:val="16"/>
                <w:szCs w:val="16"/>
              </w:rPr>
            </w:pPr>
            <w:r w:rsidRPr="001A48FF">
              <w:rPr>
                <w:rFonts w:cstheme="minorHAnsi"/>
                <w:sz w:val="16"/>
                <w:szCs w:val="16"/>
              </w:rPr>
              <w:t>The Story of Time</w:t>
            </w:r>
          </w:p>
        </w:tc>
        <w:tc>
          <w:tcPr>
            <w:tcW w:w="3661" w:type="dxa"/>
            <w:gridSpan w:val="4"/>
            <w:vAlign w:val="center"/>
          </w:tcPr>
          <w:p w:rsidR="005352C2" w:rsidRPr="001A48FF" w:rsidRDefault="005352C2" w:rsidP="000505B8">
            <w:pPr>
              <w:widowControl w:val="0"/>
              <w:autoSpaceDE w:val="0"/>
              <w:autoSpaceDN w:val="0"/>
              <w:adjustRightInd w:val="0"/>
              <w:jc w:val="center"/>
              <w:rPr>
                <w:rFonts w:cstheme="minorHAnsi"/>
                <w:sz w:val="16"/>
                <w:szCs w:val="16"/>
              </w:rPr>
            </w:pPr>
            <w:proofErr w:type="spellStart"/>
            <w:r w:rsidRPr="001A48FF">
              <w:rPr>
                <w:rFonts w:cstheme="minorHAnsi"/>
                <w:sz w:val="16"/>
                <w:szCs w:val="16"/>
              </w:rPr>
              <w:t>Merrel</w:t>
            </w:r>
            <w:proofErr w:type="spellEnd"/>
            <w:r w:rsidRPr="001A48FF">
              <w:rPr>
                <w:rFonts w:cstheme="minorHAnsi"/>
                <w:sz w:val="16"/>
                <w:szCs w:val="16"/>
              </w:rPr>
              <w:t xml:space="preserve"> </w:t>
            </w:r>
            <w:proofErr w:type="spellStart"/>
            <w:r w:rsidRPr="001A48FF">
              <w:rPr>
                <w:rFonts w:cstheme="minorHAnsi"/>
                <w:sz w:val="16"/>
                <w:szCs w:val="16"/>
              </w:rPr>
              <w:t>Holberton</w:t>
            </w:r>
            <w:proofErr w:type="spellEnd"/>
            <w:r w:rsidRPr="001A48FF">
              <w:rPr>
                <w:rFonts w:cstheme="minorHAnsi"/>
                <w:sz w:val="16"/>
                <w:szCs w:val="16"/>
              </w:rPr>
              <w:t xml:space="preserve"> Publishers, London, U.K.</w:t>
            </w:r>
          </w:p>
          <w:p w:rsidR="005E42D1" w:rsidRPr="001A48FF" w:rsidRDefault="005E42D1" w:rsidP="000505B8">
            <w:pPr>
              <w:jc w:val="center"/>
              <w:rPr>
                <w:rFonts w:cstheme="minorHAnsi"/>
                <w:sz w:val="16"/>
                <w:szCs w:val="16"/>
              </w:rPr>
            </w:pPr>
          </w:p>
        </w:tc>
        <w:tc>
          <w:tcPr>
            <w:tcW w:w="1275" w:type="dxa"/>
            <w:gridSpan w:val="2"/>
            <w:vAlign w:val="center"/>
          </w:tcPr>
          <w:p w:rsidR="005E42D1" w:rsidRPr="001A48FF" w:rsidRDefault="005352C2" w:rsidP="000505B8">
            <w:pPr>
              <w:jc w:val="center"/>
              <w:rPr>
                <w:rFonts w:cstheme="minorHAnsi"/>
                <w:sz w:val="16"/>
                <w:szCs w:val="16"/>
              </w:rPr>
            </w:pPr>
            <w:r w:rsidRPr="001A48FF">
              <w:rPr>
                <w:rFonts w:cstheme="minorHAnsi"/>
                <w:sz w:val="16"/>
                <w:szCs w:val="16"/>
              </w:rPr>
              <w:t>2000</w:t>
            </w:r>
          </w:p>
        </w:tc>
      </w:tr>
      <w:tr w:rsidR="00D02E1F" w:rsidRPr="001A48FF" w:rsidTr="005A5E62">
        <w:tc>
          <w:tcPr>
            <w:tcW w:w="675" w:type="dxa"/>
            <w:vAlign w:val="center"/>
          </w:tcPr>
          <w:p w:rsidR="00D02E1F" w:rsidRPr="001A48FF" w:rsidRDefault="00D02E1F" w:rsidP="005A5E62">
            <w:pPr>
              <w:pStyle w:val="ListParagraph"/>
              <w:numPr>
                <w:ilvl w:val="0"/>
                <w:numId w:val="4"/>
              </w:numPr>
              <w:ind w:left="0" w:firstLine="0"/>
              <w:rPr>
                <w:rFonts w:cstheme="minorHAnsi"/>
                <w:sz w:val="16"/>
                <w:szCs w:val="16"/>
              </w:rPr>
            </w:pPr>
          </w:p>
        </w:tc>
        <w:tc>
          <w:tcPr>
            <w:tcW w:w="1701" w:type="dxa"/>
            <w:gridSpan w:val="2"/>
            <w:vAlign w:val="center"/>
          </w:tcPr>
          <w:p w:rsidR="005352C2" w:rsidRPr="001A48FF" w:rsidRDefault="005352C2" w:rsidP="000505B8">
            <w:pPr>
              <w:widowControl w:val="0"/>
              <w:autoSpaceDE w:val="0"/>
              <w:autoSpaceDN w:val="0"/>
              <w:adjustRightInd w:val="0"/>
              <w:ind w:left="-108" w:right="-108"/>
              <w:jc w:val="center"/>
              <w:rPr>
                <w:rFonts w:cstheme="minorHAnsi"/>
                <w:sz w:val="16"/>
                <w:szCs w:val="16"/>
              </w:rPr>
            </w:pPr>
            <w:proofErr w:type="spellStart"/>
            <w:r w:rsidRPr="001A48FF">
              <w:rPr>
                <w:rFonts w:cstheme="minorHAnsi"/>
                <w:sz w:val="16"/>
                <w:szCs w:val="16"/>
              </w:rPr>
              <w:t>Scaer</w:t>
            </w:r>
            <w:proofErr w:type="spellEnd"/>
            <w:r w:rsidRPr="001A48FF">
              <w:rPr>
                <w:rFonts w:cstheme="minorHAnsi"/>
                <w:sz w:val="16"/>
                <w:szCs w:val="16"/>
              </w:rPr>
              <w:t xml:space="preserve"> R., </w:t>
            </w:r>
            <w:proofErr w:type="spellStart"/>
            <w:r w:rsidRPr="001A48FF">
              <w:rPr>
                <w:rFonts w:cstheme="minorHAnsi"/>
                <w:sz w:val="16"/>
                <w:szCs w:val="16"/>
              </w:rPr>
              <w:t>Claeys</w:t>
            </w:r>
            <w:proofErr w:type="spellEnd"/>
            <w:r w:rsidRPr="001A48FF">
              <w:rPr>
                <w:rFonts w:cstheme="minorHAnsi"/>
                <w:sz w:val="16"/>
                <w:szCs w:val="16"/>
              </w:rPr>
              <w:t xml:space="preserve"> G. and Tower </w:t>
            </w:r>
            <w:proofErr w:type="spellStart"/>
            <w:r w:rsidRPr="001A48FF">
              <w:rPr>
                <w:rFonts w:cstheme="minorHAnsi"/>
                <w:sz w:val="16"/>
                <w:szCs w:val="16"/>
              </w:rPr>
              <w:t>Sargent</w:t>
            </w:r>
            <w:proofErr w:type="spellEnd"/>
            <w:r w:rsidRPr="001A48FF">
              <w:rPr>
                <w:rFonts w:cstheme="minorHAnsi"/>
                <w:sz w:val="16"/>
                <w:szCs w:val="16"/>
              </w:rPr>
              <w:t xml:space="preserve"> L.</w:t>
            </w:r>
          </w:p>
          <w:p w:rsidR="00D02E1F" w:rsidRPr="001A48FF" w:rsidRDefault="00D02E1F" w:rsidP="000505B8">
            <w:pPr>
              <w:ind w:left="-108" w:right="-108"/>
              <w:jc w:val="center"/>
              <w:rPr>
                <w:rFonts w:cstheme="minorHAnsi"/>
                <w:sz w:val="16"/>
                <w:szCs w:val="16"/>
              </w:rPr>
            </w:pPr>
          </w:p>
        </w:tc>
        <w:tc>
          <w:tcPr>
            <w:tcW w:w="2435" w:type="dxa"/>
            <w:gridSpan w:val="3"/>
            <w:vAlign w:val="center"/>
          </w:tcPr>
          <w:p w:rsidR="00D02E1F" w:rsidRPr="001A48FF" w:rsidRDefault="005352C2" w:rsidP="000505B8">
            <w:pPr>
              <w:jc w:val="center"/>
              <w:rPr>
                <w:rFonts w:cstheme="minorHAnsi"/>
                <w:sz w:val="16"/>
                <w:szCs w:val="16"/>
              </w:rPr>
            </w:pPr>
            <w:r w:rsidRPr="001A48FF">
              <w:rPr>
                <w:rFonts w:cstheme="minorHAnsi"/>
                <w:sz w:val="16"/>
                <w:szCs w:val="16"/>
              </w:rPr>
              <w:t>Utopia</w:t>
            </w:r>
          </w:p>
        </w:tc>
        <w:tc>
          <w:tcPr>
            <w:tcW w:w="3661" w:type="dxa"/>
            <w:gridSpan w:val="4"/>
            <w:vAlign w:val="center"/>
          </w:tcPr>
          <w:p w:rsidR="00D02E1F" w:rsidRPr="001A48FF" w:rsidRDefault="005352C2" w:rsidP="000505B8">
            <w:pPr>
              <w:jc w:val="center"/>
              <w:rPr>
                <w:rFonts w:cstheme="minorHAnsi"/>
                <w:sz w:val="16"/>
                <w:szCs w:val="16"/>
              </w:rPr>
            </w:pPr>
            <w:r w:rsidRPr="001A48FF">
              <w:rPr>
                <w:rFonts w:cstheme="minorHAnsi"/>
                <w:sz w:val="16"/>
                <w:szCs w:val="16"/>
              </w:rPr>
              <w:t>New York Public Library and Oxford University Press, N.Y.</w:t>
            </w:r>
          </w:p>
        </w:tc>
        <w:tc>
          <w:tcPr>
            <w:tcW w:w="1275" w:type="dxa"/>
            <w:gridSpan w:val="2"/>
            <w:vAlign w:val="center"/>
          </w:tcPr>
          <w:p w:rsidR="005352C2" w:rsidRPr="001A48FF" w:rsidRDefault="005352C2" w:rsidP="000505B8">
            <w:pPr>
              <w:jc w:val="center"/>
              <w:rPr>
                <w:rFonts w:cstheme="minorHAnsi"/>
                <w:sz w:val="16"/>
                <w:szCs w:val="16"/>
              </w:rPr>
            </w:pPr>
            <w:r w:rsidRPr="001A48FF">
              <w:rPr>
                <w:rFonts w:cstheme="minorHAnsi"/>
                <w:sz w:val="16"/>
                <w:szCs w:val="16"/>
              </w:rPr>
              <w:t>2000</w:t>
            </w:r>
          </w:p>
        </w:tc>
      </w:tr>
      <w:tr w:rsidR="005352C2" w:rsidRPr="001A48FF" w:rsidTr="005A5E62">
        <w:tc>
          <w:tcPr>
            <w:tcW w:w="675" w:type="dxa"/>
            <w:vAlign w:val="center"/>
          </w:tcPr>
          <w:p w:rsidR="005352C2" w:rsidRPr="001A48FF" w:rsidRDefault="005352C2" w:rsidP="005A5E62">
            <w:pPr>
              <w:pStyle w:val="ListParagraph"/>
              <w:numPr>
                <w:ilvl w:val="0"/>
                <w:numId w:val="4"/>
              </w:numPr>
              <w:ind w:left="0" w:firstLine="0"/>
              <w:rPr>
                <w:rFonts w:cstheme="minorHAnsi"/>
                <w:sz w:val="16"/>
                <w:szCs w:val="16"/>
              </w:rPr>
            </w:pPr>
          </w:p>
        </w:tc>
        <w:tc>
          <w:tcPr>
            <w:tcW w:w="1701" w:type="dxa"/>
            <w:gridSpan w:val="2"/>
            <w:vAlign w:val="center"/>
          </w:tcPr>
          <w:p w:rsidR="005352C2" w:rsidRPr="001A48FF" w:rsidRDefault="005352C2" w:rsidP="000505B8">
            <w:pPr>
              <w:widowControl w:val="0"/>
              <w:autoSpaceDE w:val="0"/>
              <w:autoSpaceDN w:val="0"/>
              <w:adjustRightInd w:val="0"/>
              <w:ind w:left="-108" w:right="-108"/>
              <w:jc w:val="center"/>
              <w:rPr>
                <w:rFonts w:cstheme="minorHAnsi"/>
                <w:sz w:val="16"/>
                <w:szCs w:val="16"/>
              </w:rPr>
            </w:pPr>
            <w:proofErr w:type="spellStart"/>
            <w:r w:rsidRPr="001A48FF">
              <w:rPr>
                <w:rFonts w:cstheme="minorHAnsi"/>
                <w:sz w:val="16"/>
                <w:szCs w:val="16"/>
              </w:rPr>
              <w:t>Flyvbjerg</w:t>
            </w:r>
            <w:proofErr w:type="spellEnd"/>
            <w:r w:rsidRPr="001A48FF">
              <w:rPr>
                <w:rFonts w:cstheme="minorHAnsi"/>
                <w:sz w:val="16"/>
                <w:szCs w:val="16"/>
              </w:rPr>
              <w:t xml:space="preserve"> B., </w:t>
            </w:r>
            <w:proofErr w:type="spellStart"/>
            <w:r w:rsidRPr="001A48FF">
              <w:rPr>
                <w:rFonts w:cstheme="minorHAnsi"/>
                <w:sz w:val="16"/>
                <w:szCs w:val="16"/>
              </w:rPr>
              <w:t>Bruzelius</w:t>
            </w:r>
            <w:proofErr w:type="spellEnd"/>
            <w:r w:rsidRPr="001A48FF">
              <w:rPr>
                <w:rFonts w:cstheme="minorHAnsi"/>
                <w:sz w:val="16"/>
                <w:szCs w:val="16"/>
              </w:rPr>
              <w:t xml:space="preserve"> N. and </w:t>
            </w:r>
            <w:proofErr w:type="spellStart"/>
            <w:r w:rsidRPr="001A48FF">
              <w:rPr>
                <w:rFonts w:cstheme="minorHAnsi"/>
                <w:sz w:val="16"/>
                <w:szCs w:val="16"/>
              </w:rPr>
              <w:t>Rothengatter</w:t>
            </w:r>
            <w:proofErr w:type="spellEnd"/>
            <w:r w:rsidRPr="001A48FF">
              <w:rPr>
                <w:rFonts w:cstheme="minorHAnsi"/>
                <w:sz w:val="16"/>
                <w:szCs w:val="16"/>
              </w:rPr>
              <w:t xml:space="preserve"> W.</w:t>
            </w:r>
          </w:p>
        </w:tc>
        <w:tc>
          <w:tcPr>
            <w:tcW w:w="2435" w:type="dxa"/>
            <w:gridSpan w:val="3"/>
            <w:vAlign w:val="center"/>
          </w:tcPr>
          <w:p w:rsidR="005352C2" w:rsidRPr="001A48FF" w:rsidRDefault="005352C2" w:rsidP="000505B8">
            <w:pPr>
              <w:jc w:val="center"/>
              <w:rPr>
                <w:rFonts w:cstheme="minorHAnsi"/>
                <w:sz w:val="16"/>
                <w:szCs w:val="16"/>
              </w:rPr>
            </w:pPr>
            <w:r w:rsidRPr="001A48FF">
              <w:rPr>
                <w:rFonts w:cstheme="minorHAnsi"/>
                <w:sz w:val="16"/>
                <w:szCs w:val="16"/>
              </w:rPr>
              <w:t>Megaprojects and Risk</w:t>
            </w:r>
          </w:p>
        </w:tc>
        <w:tc>
          <w:tcPr>
            <w:tcW w:w="3661" w:type="dxa"/>
            <w:gridSpan w:val="4"/>
            <w:vAlign w:val="center"/>
          </w:tcPr>
          <w:p w:rsidR="005352C2" w:rsidRPr="001A48FF" w:rsidRDefault="005352C2" w:rsidP="000505B8">
            <w:pPr>
              <w:widowControl w:val="0"/>
              <w:autoSpaceDE w:val="0"/>
              <w:autoSpaceDN w:val="0"/>
              <w:adjustRightInd w:val="0"/>
              <w:jc w:val="center"/>
              <w:rPr>
                <w:rFonts w:cstheme="minorHAnsi"/>
                <w:sz w:val="16"/>
                <w:szCs w:val="16"/>
              </w:rPr>
            </w:pPr>
            <w:r w:rsidRPr="001A48FF">
              <w:rPr>
                <w:rFonts w:cstheme="minorHAnsi"/>
                <w:sz w:val="16"/>
                <w:szCs w:val="16"/>
              </w:rPr>
              <w:t>Cambridge University Press, Cambridge, UK.</w:t>
            </w:r>
          </w:p>
          <w:p w:rsidR="005352C2" w:rsidRPr="001A48FF" w:rsidRDefault="005352C2" w:rsidP="000505B8">
            <w:pPr>
              <w:jc w:val="center"/>
              <w:rPr>
                <w:rFonts w:cstheme="minorHAnsi"/>
                <w:sz w:val="16"/>
                <w:szCs w:val="16"/>
              </w:rPr>
            </w:pPr>
          </w:p>
        </w:tc>
        <w:tc>
          <w:tcPr>
            <w:tcW w:w="1275" w:type="dxa"/>
            <w:gridSpan w:val="2"/>
            <w:vAlign w:val="center"/>
          </w:tcPr>
          <w:p w:rsidR="005352C2" w:rsidRPr="001A48FF" w:rsidRDefault="005352C2" w:rsidP="000505B8">
            <w:pPr>
              <w:jc w:val="center"/>
              <w:rPr>
                <w:rFonts w:cstheme="minorHAnsi"/>
                <w:sz w:val="16"/>
                <w:szCs w:val="16"/>
              </w:rPr>
            </w:pPr>
            <w:r w:rsidRPr="001A48FF">
              <w:rPr>
                <w:rFonts w:cstheme="minorHAnsi"/>
                <w:sz w:val="16"/>
                <w:szCs w:val="16"/>
              </w:rPr>
              <w:t>2003</w:t>
            </w:r>
          </w:p>
        </w:tc>
      </w:tr>
      <w:tr w:rsidR="005A5E62" w:rsidRPr="001A48FF" w:rsidTr="00134B46">
        <w:tc>
          <w:tcPr>
            <w:tcW w:w="675" w:type="dxa"/>
            <w:vAlign w:val="center"/>
          </w:tcPr>
          <w:p w:rsidR="005A5E62" w:rsidRPr="005A5E62" w:rsidRDefault="005A5E62" w:rsidP="005A5E62">
            <w:pPr>
              <w:rPr>
                <w:rFonts w:cstheme="minorHAnsi"/>
                <w:sz w:val="16"/>
                <w:szCs w:val="16"/>
              </w:rPr>
            </w:pPr>
            <w:r>
              <w:rPr>
                <w:rFonts w:cstheme="minorHAnsi"/>
                <w:sz w:val="16"/>
                <w:szCs w:val="16"/>
              </w:rPr>
              <w:t>4.</w:t>
            </w:r>
          </w:p>
        </w:tc>
        <w:tc>
          <w:tcPr>
            <w:tcW w:w="1701" w:type="dxa"/>
            <w:gridSpan w:val="2"/>
            <w:vAlign w:val="center"/>
          </w:tcPr>
          <w:p w:rsidR="005A5E62" w:rsidRPr="001A48FF" w:rsidRDefault="005A5E62" w:rsidP="000505B8">
            <w:pPr>
              <w:ind w:left="-108" w:right="-108"/>
              <w:jc w:val="center"/>
              <w:rPr>
                <w:rFonts w:cstheme="minorHAnsi"/>
                <w:sz w:val="16"/>
                <w:szCs w:val="16"/>
              </w:rPr>
            </w:pPr>
            <w:proofErr w:type="spellStart"/>
            <w:r w:rsidRPr="001A48FF">
              <w:rPr>
                <w:rFonts w:cstheme="minorHAnsi"/>
                <w:sz w:val="16"/>
                <w:szCs w:val="16"/>
              </w:rPr>
              <w:t>Therivel</w:t>
            </w:r>
            <w:proofErr w:type="spellEnd"/>
            <w:r w:rsidRPr="001A48FF">
              <w:rPr>
                <w:rFonts w:cstheme="minorHAnsi"/>
                <w:sz w:val="16"/>
                <w:szCs w:val="16"/>
              </w:rPr>
              <w:t xml:space="preserve"> R.</w:t>
            </w:r>
          </w:p>
        </w:tc>
        <w:tc>
          <w:tcPr>
            <w:tcW w:w="2435" w:type="dxa"/>
            <w:gridSpan w:val="3"/>
            <w:vAlign w:val="center"/>
          </w:tcPr>
          <w:p w:rsidR="005A5E62" w:rsidRPr="001A48FF" w:rsidRDefault="005A5E62" w:rsidP="000505B8">
            <w:pPr>
              <w:jc w:val="center"/>
              <w:rPr>
                <w:rFonts w:cstheme="minorHAnsi"/>
                <w:sz w:val="16"/>
                <w:szCs w:val="16"/>
              </w:rPr>
            </w:pPr>
            <w:r w:rsidRPr="001A48FF">
              <w:rPr>
                <w:rFonts w:cstheme="minorHAnsi"/>
                <w:sz w:val="16"/>
                <w:szCs w:val="16"/>
              </w:rPr>
              <w:t>Strategic Environmental Assessment in Action</w:t>
            </w:r>
          </w:p>
        </w:tc>
        <w:tc>
          <w:tcPr>
            <w:tcW w:w="3661" w:type="dxa"/>
            <w:gridSpan w:val="4"/>
            <w:vAlign w:val="center"/>
          </w:tcPr>
          <w:p w:rsidR="005A5E62" w:rsidRPr="001A48FF" w:rsidRDefault="005A5E62" w:rsidP="000505B8">
            <w:pPr>
              <w:jc w:val="center"/>
              <w:rPr>
                <w:rFonts w:cstheme="minorHAnsi"/>
                <w:sz w:val="16"/>
                <w:szCs w:val="16"/>
              </w:rPr>
            </w:pPr>
            <w:r w:rsidRPr="001A48FF">
              <w:rPr>
                <w:rFonts w:cstheme="minorHAnsi"/>
                <w:sz w:val="16"/>
                <w:szCs w:val="16"/>
              </w:rPr>
              <w:t xml:space="preserve">Cromwell Press Ltd. </w:t>
            </w:r>
            <w:proofErr w:type="spellStart"/>
            <w:r w:rsidRPr="001A48FF">
              <w:rPr>
                <w:rFonts w:cstheme="minorHAnsi"/>
                <w:sz w:val="16"/>
                <w:szCs w:val="16"/>
              </w:rPr>
              <w:t>Gateshead</w:t>
            </w:r>
            <w:proofErr w:type="spellEnd"/>
            <w:r w:rsidRPr="001A48FF">
              <w:rPr>
                <w:rFonts w:cstheme="minorHAnsi"/>
                <w:sz w:val="16"/>
                <w:szCs w:val="16"/>
              </w:rPr>
              <w:t>, UK.</w:t>
            </w:r>
          </w:p>
        </w:tc>
        <w:tc>
          <w:tcPr>
            <w:tcW w:w="1275" w:type="dxa"/>
            <w:gridSpan w:val="2"/>
            <w:vAlign w:val="center"/>
          </w:tcPr>
          <w:p w:rsidR="005A5E62" w:rsidRPr="001A48FF" w:rsidRDefault="005A5E62" w:rsidP="000505B8">
            <w:pPr>
              <w:jc w:val="center"/>
              <w:rPr>
                <w:rFonts w:cstheme="minorHAnsi"/>
                <w:sz w:val="16"/>
                <w:szCs w:val="16"/>
              </w:rPr>
            </w:pPr>
            <w:r w:rsidRPr="001A48FF">
              <w:rPr>
                <w:rFonts w:cstheme="minorHAnsi"/>
                <w:sz w:val="16"/>
                <w:szCs w:val="16"/>
              </w:rPr>
              <w:t>2004</w:t>
            </w:r>
          </w:p>
        </w:tc>
      </w:tr>
      <w:tr w:rsidR="005352C2" w:rsidRPr="001A48FF" w:rsidTr="005A5E62">
        <w:tc>
          <w:tcPr>
            <w:tcW w:w="675" w:type="dxa"/>
            <w:vAlign w:val="center"/>
          </w:tcPr>
          <w:p w:rsidR="005352C2" w:rsidRPr="005A5E62" w:rsidRDefault="005A5E62" w:rsidP="005A5E62">
            <w:pPr>
              <w:rPr>
                <w:rFonts w:cstheme="minorHAnsi"/>
                <w:sz w:val="16"/>
                <w:szCs w:val="16"/>
              </w:rPr>
            </w:pPr>
            <w:r>
              <w:rPr>
                <w:rFonts w:cstheme="minorHAnsi"/>
                <w:sz w:val="16"/>
                <w:szCs w:val="16"/>
              </w:rPr>
              <w:t>5.</w:t>
            </w:r>
          </w:p>
        </w:tc>
        <w:tc>
          <w:tcPr>
            <w:tcW w:w="1701" w:type="dxa"/>
            <w:gridSpan w:val="2"/>
            <w:vAlign w:val="center"/>
          </w:tcPr>
          <w:p w:rsidR="005352C2" w:rsidRPr="001A48FF" w:rsidRDefault="005352C2" w:rsidP="000505B8">
            <w:pPr>
              <w:jc w:val="center"/>
              <w:rPr>
                <w:rFonts w:cstheme="minorHAnsi"/>
                <w:sz w:val="16"/>
                <w:szCs w:val="16"/>
              </w:rPr>
            </w:pPr>
          </w:p>
        </w:tc>
        <w:tc>
          <w:tcPr>
            <w:tcW w:w="2435" w:type="dxa"/>
            <w:gridSpan w:val="3"/>
            <w:vAlign w:val="center"/>
          </w:tcPr>
          <w:p w:rsidR="005352C2" w:rsidRPr="001A48FF" w:rsidRDefault="005352C2" w:rsidP="000505B8">
            <w:pPr>
              <w:jc w:val="center"/>
              <w:rPr>
                <w:rFonts w:cstheme="minorHAnsi"/>
                <w:sz w:val="16"/>
                <w:szCs w:val="16"/>
              </w:rPr>
            </w:pPr>
          </w:p>
        </w:tc>
        <w:tc>
          <w:tcPr>
            <w:tcW w:w="3661" w:type="dxa"/>
            <w:gridSpan w:val="4"/>
            <w:vAlign w:val="center"/>
          </w:tcPr>
          <w:p w:rsidR="005352C2" w:rsidRPr="001A48FF" w:rsidRDefault="005A5E62" w:rsidP="000505B8">
            <w:pPr>
              <w:jc w:val="center"/>
              <w:rPr>
                <w:rFonts w:cstheme="minorHAnsi"/>
                <w:sz w:val="16"/>
                <w:szCs w:val="16"/>
              </w:rPr>
            </w:pPr>
            <w:r w:rsidRPr="00675084">
              <w:rPr>
                <w:rFonts w:ascii="Calibri" w:eastAsia="Calibri" w:hAnsi="Calibri" w:cs="Times New Roman"/>
                <w:sz w:val="16"/>
                <w:szCs w:val="16"/>
              </w:rPr>
              <w:t>Internet sources (articles, reports, presentations)</w:t>
            </w:r>
          </w:p>
        </w:tc>
        <w:tc>
          <w:tcPr>
            <w:tcW w:w="1275" w:type="dxa"/>
            <w:gridSpan w:val="2"/>
            <w:vAlign w:val="center"/>
          </w:tcPr>
          <w:p w:rsidR="005352C2" w:rsidRPr="001A48FF" w:rsidRDefault="005352C2" w:rsidP="000505B8">
            <w:pPr>
              <w:jc w:val="center"/>
              <w:rPr>
                <w:rFonts w:cstheme="minorHAnsi"/>
                <w:sz w:val="16"/>
                <w:szCs w:val="16"/>
              </w:rPr>
            </w:pP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E53EC0" w:rsidP="005A5E62">
            <w:r>
              <w:t xml:space="preserve">   </w:t>
            </w:r>
            <w:r w:rsidR="001312B9"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C059D2">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5A5E62">
            <w:pPr>
              <w:rPr>
                <w:rFonts w:ascii="Arial" w:hAnsi="Arial" w:cs="Arial"/>
                <w:sz w:val="16"/>
                <w:szCs w:val="16"/>
              </w:rPr>
            </w:pPr>
          </w:p>
          <w:p w:rsidR="001312B9" w:rsidRPr="001312B9" w:rsidRDefault="001312B9" w:rsidP="00C059D2">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5A5E62">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rsidP="005A5E62"/>
        </w:tc>
        <w:tc>
          <w:tcPr>
            <w:tcW w:w="6512" w:type="dxa"/>
            <w:tcBorders>
              <w:bottom w:val="single" w:sz="4" w:space="0" w:color="auto"/>
            </w:tcBorders>
            <w:shd w:val="clear" w:color="auto" w:fill="C2D69B" w:themeFill="accent3" w:themeFillTint="99"/>
            <w:vAlign w:val="center"/>
          </w:tcPr>
          <w:p w:rsidR="002F0738" w:rsidRPr="00D3655D" w:rsidRDefault="002F0738" w:rsidP="00C059D2">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5A5E62">
            <w:pPr>
              <w:rPr>
                <w:sz w:val="16"/>
                <w:szCs w:val="16"/>
              </w:rPr>
            </w:pPr>
          </w:p>
          <w:p w:rsidR="001312B9" w:rsidRPr="001312B9" w:rsidRDefault="001A48FF" w:rsidP="00C059D2">
            <w:pPr>
              <w:jc w:val="center"/>
              <w:rPr>
                <w:rFonts w:ascii="Arial" w:hAnsi="Arial" w:cs="Arial"/>
                <w:sz w:val="18"/>
                <w:szCs w:val="18"/>
              </w:rPr>
            </w:pPr>
            <w:r>
              <w:rPr>
                <w:rFonts w:ascii="Arial" w:hAnsi="Arial" w:cs="Arial"/>
                <w:sz w:val="18"/>
                <w:szCs w:val="18"/>
              </w:rPr>
              <w:t xml:space="preserve">MASTER ACADEMIC STUDIES - </w:t>
            </w:r>
            <w:r>
              <w:rPr>
                <w:rFonts w:ascii="Arial" w:hAnsi="Arial" w:cs="Arial"/>
                <w:bCs/>
                <w:sz w:val="18"/>
                <w:szCs w:val="18"/>
              </w:rPr>
              <w:t>AGRICULTURAL WATER MANAGEMENT (</w:t>
            </w:r>
            <w:proofErr w:type="spellStart"/>
            <w:r>
              <w:rPr>
                <w:rFonts w:ascii="Arial" w:hAnsi="Arial" w:cs="Arial"/>
                <w:bCs/>
                <w:sz w:val="18"/>
                <w:szCs w:val="18"/>
              </w:rPr>
              <w:t>LOLAqua</w:t>
            </w:r>
            <w:proofErr w:type="spellEnd"/>
            <w:r>
              <w:rPr>
                <w:rFonts w:ascii="Arial" w:hAnsi="Arial" w:cs="Arial"/>
                <w:bCs/>
                <w:sz w:val="18"/>
                <w:szCs w:val="18"/>
              </w:rPr>
              <w:t>)</w:t>
            </w:r>
          </w:p>
        </w:tc>
        <w:tc>
          <w:tcPr>
            <w:tcW w:w="1432" w:type="dxa"/>
            <w:vMerge/>
            <w:tcBorders>
              <w:bottom w:val="single" w:sz="4" w:space="0" w:color="auto"/>
            </w:tcBorders>
          </w:tcPr>
          <w:p w:rsidR="001312B9" w:rsidRDefault="001312B9" w:rsidP="005A5E62"/>
        </w:tc>
      </w:tr>
      <w:tr w:rsidR="001312B9" w:rsidTr="002F0738">
        <w:tc>
          <w:tcPr>
            <w:tcW w:w="9762" w:type="dxa"/>
            <w:gridSpan w:val="3"/>
            <w:tcBorders>
              <w:left w:val="nil"/>
              <w:bottom w:val="nil"/>
              <w:right w:val="nil"/>
            </w:tcBorders>
          </w:tcPr>
          <w:p w:rsidR="001312B9" w:rsidRPr="001312B9" w:rsidRDefault="001312B9" w:rsidP="005A5E62">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34E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E0A9F"/>
    <w:multiLevelType w:val="hybridMultilevel"/>
    <w:tmpl w:val="57389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505B8"/>
    <w:rsid w:val="0008374A"/>
    <w:rsid w:val="001312B9"/>
    <w:rsid w:val="001A48FF"/>
    <w:rsid w:val="001E42A5"/>
    <w:rsid w:val="001F34D7"/>
    <w:rsid w:val="002319BC"/>
    <w:rsid w:val="00255EDE"/>
    <w:rsid w:val="002611DF"/>
    <w:rsid w:val="002821A3"/>
    <w:rsid w:val="00296294"/>
    <w:rsid w:val="002F0738"/>
    <w:rsid w:val="00322F84"/>
    <w:rsid w:val="004271DF"/>
    <w:rsid w:val="0044281F"/>
    <w:rsid w:val="00443296"/>
    <w:rsid w:val="004666C8"/>
    <w:rsid w:val="004C1CC6"/>
    <w:rsid w:val="00513136"/>
    <w:rsid w:val="005352C2"/>
    <w:rsid w:val="00535E50"/>
    <w:rsid w:val="005559C8"/>
    <w:rsid w:val="005A5E62"/>
    <w:rsid w:val="005E42D1"/>
    <w:rsid w:val="006E3A77"/>
    <w:rsid w:val="006F74ED"/>
    <w:rsid w:val="007F1C44"/>
    <w:rsid w:val="008364F9"/>
    <w:rsid w:val="008F548C"/>
    <w:rsid w:val="00927F2D"/>
    <w:rsid w:val="00971523"/>
    <w:rsid w:val="009B28FB"/>
    <w:rsid w:val="009E2BF4"/>
    <w:rsid w:val="00AE67EE"/>
    <w:rsid w:val="00C059D2"/>
    <w:rsid w:val="00C21CE9"/>
    <w:rsid w:val="00CC0E96"/>
    <w:rsid w:val="00CC7AA9"/>
    <w:rsid w:val="00CD3D20"/>
    <w:rsid w:val="00CF2AF4"/>
    <w:rsid w:val="00D02E1F"/>
    <w:rsid w:val="00D21EFD"/>
    <w:rsid w:val="00D554D7"/>
    <w:rsid w:val="00D56F7B"/>
    <w:rsid w:val="00D57E7D"/>
    <w:rsid w:val="00DF0ABC"/>
    <w:rsid w:val="00E530D8"/>
    <w:rsid w:val="00E53EC0"/>
    <w:rsid w:val="00E83431"/>
    <w:rsid w:val="00F74B6D"/>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grabic.jasna</cp:lastModifiedBy>
  <cp:revision>5</cp:revision>
  <dcterms:created xsi:type="dcterms:W3CDTF">2015-01-20T12:59:00Z</dcterms:created>
  <dcterms:modified xsi:type="dcterms:W3CDTF">2015-01-21T09:33:00Z</dcterms:modified>
</cp:coreProperties>
</file>