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134"/>
        <w:gridCol w:w="567"/>
        <w:gridCol w:w="1186"/>
        <w:gridCol w:w="515"/>
        <w:gridCol w:w="734"/>
        <w:gridCol w:w="1109"/>
        <w:gridCol w:w="1429"/>
        <w:gridCol w:w="414"/>
        <w:gridCol w:w="709"/>
        <w:gridCol w:w="8"/>
        <w:gridCol w:w="1267"/>
      </w:tblGrid>
      <w:tr w:rsidR="009E2BF4" w:rsidRPr="00E67212" w:rsidTr="004D4A4F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E6721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938" w:type="dxa"/>
            <w:gridSpan w:val="10"/>
            <w:vMerge w:val="restart"/>
            <w:vAlign w:val="center"/>
          </w:tcPr>
          <w:p w:rsidR="009E2BF4" w:rsidRPr="00F474C8" w:rsidRDefault="00883D4B" w:rsidP="009E2BF4">
            <w:pPr>
              <w:jc w:val="center"/>
              <w:rPr>
                <w:rFonts w:cstheme="minorHAnsi"/>
                <w:i/>
              </w:rPr>
            </w:pPr>
            <w:r w:rsidRPr="00F474C8">
              <w:rPr>
                <w:rFonts w:eastAsia="Calibri" w:cstheme="minorHAnsi"/>
                <w:b/>
                <w:bCs/>
              </w:rPr>
              <w:t>ON-FARM IRRIGATION AND DRAINAGE</w:t>
            </w:r>
          </w:p>
        </w:tc>
      </w:tr>
      <w:tr w:rsidR="009E2BF4" w:rsidRPr="00E67212" w:rsidTr="004D4A4F">
        <w:tc>
          <w:tcPr>
            <w:tcW w:w="1809" w:type="dxa"/>
            <w:gridSpan w:val="2"/>
            <w:vAlign w:val="center"/>
          </w:tcPr>
          <w:p w:rsidR="009E2BF4" w:rsidRPr="00E6721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938" w:type="dxa"/>
            <w:gridSpan w:val="10"/>
            <w:vMerge/>
          </w:tcPr>
          <w:p w:rsidR="009E2BF4" w:rsidRPr="00E67212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E67212" w:rsidTr="004D4A4F">
        <w:tc>
          <w:tcPr>
            <w:tcW w:w="1809" w:type="dxa"/>
            <w:gridSpan w:val="2"/>
            <w:vAlign w:val="center"/>
          </w:tcPr>
          <w:p w:rsidR="009E2BF4" w:rsidRPr="00E6721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Number of ECTS:</w:t>
            </w:r>
            <w:r w:rsidR="0009356C">
              <w:rPr>
                <w:rFonts w:cstheme="minorHAnsi"/>
                <w:sz w:val="16"/>
                <w:szCs w:val="16"/>
              </w:rPr>
              <w:t xml:space="preserve"> 6</w:t>
            </w:r>
          </w:p>
        </w:tc>
        <w:tc>
          <w:tcPr>
            <w:tcW w:w="7938" w:type="dxa"/>
            <w:gridSpan w:val="10"/>
            <w:vMerge/>
          </w:tcPr>
          <w:p w:rsidR="009E2BF4" w:rsidRPr="00E67212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11DF" w:rsidRPr="00DD5511" w:rsidTr="004D4A4F">
        <w:tc>
          <w:tcPr>
            <w:tcW w:w="1809" w:type="dxa"/>
            <w:gridSpan w:val="2"/>
            <w:vAlign w:val="center"/>
          </w:tcPr>
          <w:p w:rsidR="002611DF" w:rsidRPr="00E6721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938" w:type="dxa"/>
            <w:gridSpan w:val="10"/>
          </w:tcPr>
          <w:p w:rsidR="002611DF" w:rsidRPr="00F474C8" w:rsidRDefault="00E67212" w:rsidP="00DD5511">
            <w:pPr>
              <w:rPr>
                <w:rFonts w:cstheme="minorHAnsi"/>
                <w:sz w:val="20"/>
                <w:szCs w:val="20"/>
                <w:lang w:val="es-ES_tradnl"/>
              </w:rPr>
            </w:pPr>
            <w:proofErr w:type="spellStart"/>
            <w:r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Ruzica</w:t>
            </w:r>
            <w:proofErr w:type="spellEnd"/>
            <w:r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Stricevic</w:t>
            </w:r>
            <w:proofErr w:type="spellEnd"/>
            <w:r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, Enrique </w:t>
            </w:r>
            <w:proofErr w:type="spellStart"/>
            <w:r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Playan</w:t>
            </w:r>
            <w:proofErr w:type="spellEnd"/>
            <w:r w:rsidR="00DD5511"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DD5511"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Nevenka</w:t>
            </w:r>
            <w:proofErr w:type="spellEnd"/>
            <w:r w:rsidR="00DD5511"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D5511"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Djurovic</w:t>
            </w:r>
            <w:proofErr w:type="spellEnd"/>
            <w:r w:rsidR="00DD5511" w:rsidRPr="00F474C8">
              <w:rPr>
                <w:rFonts w:cstheme="minorHAnsi"/>
                <w:bCs/>
                <w:sz w:val="20"/>
                <w:szCs w:val="20"/>
                <w:lang w:val="es-ES_tradnl"/>
              </w:rPr>
              <w:t>, Atila Bezdan</w:t>
            </w:r>
          </w:p>
        </w:tc>
      </w:tr>
      <w:tr w:rsidR="00DF0ABC" w:rsidRPr="00E67212" w:rsidTr="004D4A4F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E67212" w:rsidRDefault="002611DF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Course s</w:t>
            </w:r>
            <w:r w:rsidR="00AE67EE" w:rsidRPr="00E67212">
              <w:rPr>
                <w:rFonts w:cstheme="minorHAnsi"/>
                <w:sz w:val="16"/>
                <w:szCs w:val="16"/>
              </w:rPr>
              <w:t>tatus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DF0ABC" w:rsidRPr="00E67212" w:rsidRDefault="00AE67EE" w:rsidP="00C55DE3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Mandatory</w:t>
            </w:r>
          </w:p>
        </w:tc>
      </w:tr>
      <w:tr w:rsidR="009E2BF4" w:rsidRPr="00E67212" w:rsidTr="0009356C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E67212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9E2BF4" w:rsidRPr="00E67212" w:rsidTr="004D4A4F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67212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Lectures:</w:t>
            </w:r>
            <w:r w:rsidR="00C55DE3" w:rsidRPr="00E6721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67212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Practical classes:</w:t>
            </w:r>
            <w:r w:rsidR="00C55DE3" w:rsidRPr="00E6721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67212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67212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E67212" w:rsidRDefault="009E2BF4" w:rsidP="009E2BF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9E2BF4" w:rsidRPr="00E67212" w:rsidTr="004D4A4F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E67212" w:rsidRDefault="009E2BF4" w:rsidP="005E42D1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938" w:type="dxa"/>
            <w:gridSpan w:val="10"/>
            <w:shd w:val="clear" w:color="auto" w:fill="C2D69B" w:themeFill="accent3" w:themeFillTint="99"/>
            <w:vAlign w:val="center"/>
          </w:tcPr>
          <w:p w:rsidR="009E2BF4" w:rsidRPr="00E67212" w:rsidRDefault="009E2BF4" w:rsidP="0009356C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None</w:t>
            </w:r>
          </w:p>
        </w:tc>
      </w:tr>
      <w:tr w:rsidR="005E42D1" w:rsidRPr="00E67212" w:rsidTr="0009356C">
        <w:tc>
          <w:tcPr>
            <w:tcW w:w="9747" w:type="dxa"/>
            <w:gridSpan w:val="12"/>
          </w:tcPr>
          <w:p w:rsidR="005E42D1" w:rsidRPr="00E67212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Educational goal</w:t>
            </w:r>
          </w:p>
          <w:p w:rsidR="005E42D1" w:rsidRPr="00E67212" w:rsidRDefault="00C55DE3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 xml:space="preserve">The topic will cover all elements needed for sustainable water management </w:t>
            </w:r>
            <w:proofErr w:type="gramStart"/>
            <w:r w:rsidRPr="00E67212">
              <w:rPr>
                <w:rFonts w:eastAsia="Calibri" w:cstheme="minorHAnsi"/>
                <w:sz w:val="16"/>
                <w:szCs w:val="16"/>
              </w:rPr>
              <w:t>and  needs</w:t>
            </w:r>
            <w:proofErr w:type="gramEnd"/>
            <w:r w:rsidRPr="00E67212">
              <w:rPr>
                <w:rFonts w:eastAsia="Calibri" w:cstheme="minorHAnsi"/>
                <w:sz w:val="16"/>
                <w:szCs w:val="16"/>
              </w:rPr>
              <w:t xml:space="preserve"> for improvement, steps will be taken towards the implementation of the Water Framework Directive.</w:t>
            </w:r>
          </w:p>
        </w:tc>
      </w:tr>
      <w:tr w:rsidR="005E42D1" w:rsidRPr="00E67212" w:rsidTr="0009356C">
        <w:tc>
          <w:tcPr>
            <w:tcW w:w="9747" w:type="dxa"/>
            <w:gridSpan w:val="12"/>
          </w:tcPr>
          <w:p w:rsidR="005E42D1" w:rsidRPr="00E67212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Educational outcomes</w:t>
            </w:r>
          </w:p>
          <w:p w:rsidR="005E42D1" w:rsidRPr="00E67212" w:rsidRDefault="00C55DE3" w:rsidP="009E2BF4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bCs/>
                <w:sz w:val="16"/>
                <w:szCs w:val="16"/>
              </w:rPr>
              <w:t xml:space="preserve">Develop skills for the management of irrigation and drainage systems at the farm level. </w:t>
            </w:r>
            <w:proofErr w:type="spellStart"/>
            <w:r w:rsidRPr="00E67212">
              <w:rPr>
                <w:rFonts w:eastAsia="Calibri" w:cstheme="minorHAnsi"/>
                <w:bCs/>
                <w:sz w:val="16"/>
                <w:szCs w:val="16"/>
              </w:rPr>
              <w:t>Familiarise</w:t>
            </w:r>
            <w:proofErr w:type="spellEnd"/>
            <w:r w:rsidRPr="00E67212">
              <w:rPr>
                <w:rFonts w:eastAsia="Calibri" w:cstheme="minorHAnsi"/>
                <w:bCs/>
                <w:sz w:val="16"/>
                <w:szCs w:val="16"/>
              </w:rPr>
              <w:t xml:space="preserve"> with the basic scientific and technological tools commonly used to schedule irrigation, apply irrigation water on-farm, manage drainage systems and monitor water quality degradation in agricultural systems. Use a „learning by a case study</w:t>
            </w:r>
            <w:proofErr w:type="gramStart"/>
            <w:r w:rsidRPr="00E67212">
              <w:rPr>
                <w:rFonts w:eastAsia="Calibri" w:cstheme="minorHAnsi"/>
                <w:bCs/>
                <w:sz w:val="16"/>
                <w:szCs w:val="16"/>
              </w:rPr>
              <w:t>“ approach</w:t>
            </w:r>
            <w:proofErr w:type="gramEnd"/>
            <w:r w:rsidRPr="00E67212">
              <w:rPr>
                <w:rFonts w:eastAsia="Calibri" w:cstheme="minorHAnsi"/>
                <w:bCs/>
                <w:sz w:val="16"/>
                <w:szCs w:val="16"/>
              </w:rPr>
              <w:t>.</w:t>
            </w:r>
          </w:p>
        </w:tc>
      </w:tr>
      <w:tr w:rsidR="005E42D1" w:rsidRPr="00E67212" w:rsidTr="0009356C">
        <w:tc>
          <w:tcPr>
            <w:tcW w:w="9747" w:type="dxa"/>
            <w:gridSpan w:val="12"/>
          </w:tcPr>
          <w:p w:rsidR="005E42D1" w:rsidRPr="00E67212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Course content</w:t>
            </w:r>
          </w:p>
          <w:p w:rsidR="00C55DE3" w:rsidRPr="00E67212" w:rsidRDefault="00C55DE3" w:rsidP="00C55DE3">
            <w:pPr>
              <w:rPr>
                <w:rFonts w:eastAsia="Calibri" w:cstheme="minorHAnsi"/>
                <w:i/>
                <w:iCs/>
                <w:sz w:val="16"/>
                <w:szCs w:val="16"/>
              </w:rPr>
            </w:pPr>
            <w:r w:rsidRPr="00E67212">
              <w:rPr>
                <w:rFonts w:eastAsia="Calibri" w:cstheme="minorHAnsi"/>
                <w:i/>
                <w:iCs/>
                <w:sz w:val="16"/>
                <w:szCs w:val="16"/>
              </w:rPr>
              <w:t>Theoretical lecturing</w:t>
            </w:r>
          </w:p>
          <w:p w:rsidR="00C55DE3" w:rsidRPr="00E67212" w:rsidRDefault="00C55DE3" w:rsidP="00C55DE3">
            <w:pPr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E67212">
              <w:rPr>
                <w:rFonts w:eastAsia="Calibri" w:cstheme="minorHAnsi"/>
                <w:bCs/>
                <w:i/>
                <w:sz w:val="16"/>
                <w:szCs w:val="16"/>
              </w:rPr>
              <w:t>Irrigation</w:t>
            </w:r>
            <w:r w:rsidRPr="00E67212">
              <w:rPr>
                <w:rFonts w:eastAsia="Calibri" w:cstheme="minorHAnsi"/>
                <w:bCs/>
                <w:sz w:val="16"/>
                <w:szCs w:val="16"/>
              </w:rPr>
              <w:t xml:space="preserve">: Surface, sprinkler and drip irrigation systems: morphology, design and evaluation; On-farm irrigation scheduling: networks of agro-meteorological weather stations, software applications, on-farm programming equipment. Collective irrigation networks: water conveyance networks (canals and pipelines), reservoirs, hydrants, open channel flow measurement, telemetry and remote control systems; Irrigation districts: nature, organization, water management activities, operation and maintenance, computer assisted management; Water quality assessment in irrigated projects: salinity, nitrates, phosphorus, impact of the EU water Framework Directive. </w:t>
            </w:r>
            <w:r w:rsidRPr="00E67212">
              <w:rPr>
                <w:rFonts w:eastAsia="Calibri" w:cstheme="minorHAnsi"/>
                <w:bCs/>
                <w:i/>
                <w:color w:val="000000"/>
                <w:sz w:val="16"/>
                <w:szCs w:val="16"/>
              </w:rPr>
              <w:t>Drainage</w:t>
            </w:r>
            <w:r w:rsidRPr="00E67212">
              <w:rPr>
                <w:rFonts w:eastAsia="Calibri" w:cstheme="minorHAnsi"/>
                <w:bCs/>
                <w:color w:val="000000"/>
                <w:sz w:val="16"/>
                <w:szCs w:val="16"/>
              </w:rPr>
              <w:t>:  drainage networks, morphology, design and evaluation; on-farm drainage systems, water management activities, computer assisted management, operation and maintenance</w:t>
            </w:r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 xml:space="preserve"> based on water cost recovery principles</w:t>
            </w:r>
            <w:r w:rsidRPr="00E67212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; Drainage water quality assessment, </w:t>
            </w:r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>gaps in I&amp;D management; organizing strategic change process – participatory approach, water user associations for drainage system management, legal frameworks; water boards.</w:t>
            </w:r>
          </w:p>
          <w:p w:rsidR="00C55DE3" w:rsidRPr="00E67212" w:rsidRDefault="00C55DE3" w:rsidP="00C55DE3">
            <w:pPr>
              <w:rPr>
                <w:rFonts w:eastAsia="Calibri" w:cstheme="minorHAnsi"/>
                <w:i/>
                <w:iCs/>
                <w:sz w:val="16"/>
                <w:szCs w:val="16"/>
              </w:rPr>
            </w:pPr>
            <w:r w:rsidRPr="00E67212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Practical lecturing (Tutoring) </w:t>
            </w:r>
            <w:r w:rsidRPr="00E67212">
              <w:rPr>
                <w:rFonts w:eastAsia="Calibri" w:cstheme="minorHAnsi"/>
                <w:i/>
                <w:iCs/>
                <w:sz w:val="16"/>
                <w:szCs w:val="16"/>
                <w:lang w:val="sr-Cyrl-CS"/>
              </w:rPr>
              <w:t xml:space="preserve"> </w:t>
            </w:r>
          </w:p>
          <w:p w:rsidR="005E42D1" w:rsidRPr="00E67212" w:rsidRDefault="00C55DE3" w:rsidP="00C55DE3">
            <w:pPr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iCs/>
                <w:sz w:val="16"/>
                <w:szCs w:val="16"/>
              </w:rPr>
              <w:t>Exercise, learning by case study approach, semester project.</w:t>
            </w:r>
          </w:p>
        </w:tc>
      </w:tr>
      <w:tr w:rsidR="005E42D1" w:rsidRPr="00E67212" w:rsidTr="0009356C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E67212" w:rsidRDefault="005E42D1" w:rsidP="009E2BF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Teaching methods</w:t>
            </w:r>
          </w:p>
          <w:p w:rsidR="005E42D1" w:rsidRPr="00E67212" w:rsidRDefault="0009356C" w:rsidP="009E2BF4">
            <w:pPr>
              <w:rPr>
                <w:rFonts w:cstheme="minorHAnsi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Lectures and exercises. Students will accomplish a semester project and present results in oral and in writing. The work counts for 60% of the final grade. The lectures are held in English. Retake exams may be oral only.</w:t>
            </w:r>
          </w:p>
        </w:tc>
      </w:tr>
      <w:tr w:rsidR="005E42D1" w:rsidRPr="00E67212" w:rsidTr="0009356C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E67212" w:rsidRDefault="005E42D1" w:rsidP="005E42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09356C" w:rsidTr="0052705F">
        <w:tc>
          <w:tcPr>
            <w:tcW w:w="2376" w:type="dxa"/>
            <w:gridSpan w:val="3"/>
            <w:shd w:val="clear" w:color="auto" w:fill="auto"/>
            <w:vAlign w:val="center"/>
          </w:tcPr>
          <w:p w:rsidR="0009356C" w:rsidRPr="005E42D1" w:rsidRDefault="0009356C" w:rsidP="00093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56C" w:rsidRPr="005E42D1" w:rsidRDefault="0009356C" w:rsidP="000935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09356C" w:rsidTr="0052705F">
        <w:tc>
          <w:tcPr>
            <w:tcW w:w="2376" w:type="dxa"/>
            <w:gridSpan w:val="3"/>
            <w:shd w:val="clear" w:color="auto" w:fill="auto"/>
            <w:vAlign w:val="center"/>
          </w:tcPr>
          <w:p w:rsidR="0009356C" w:rsidRPr="00C21CE9" w:rsidRDefault="0009356C" w:rsidP="0009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356C" w:rsidRDefault="0009356C" w:rsidP="0009356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09356C" w:rsidRPr="00EA0F5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9356C" w:rsidRPr="005E42D1" w:rsidRDefault="0009356C" w:rsidP="000935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E67212" w:rsidTr="0009356C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5E42D1" w:rsidRPr="00E67212" w:rsidTr="0009356C">
        <w:tc>
          <w:tcPr>
            <w:tcW w:w="675" w:type="dxa"/>
            <w:vAlign w:val="center"/>
          </w:tcPr>
          <w:p w:rsidR="005E42D1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E67212" w:rsidRDefault="00D02E1F" w:rsidP="00D02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5E42D1" w:rsidRPr="00E67212" w:rsidTr="0009356C">
        <w:tc>
          <w:tcPr>
            <w:tcW w:w="675" w:type="dxa"/>
            <w:vAlign w:val="center"/>
          </w:tcPr>
          <w:p w:rsidR="005E42D1" w:rsidRPr="00E67212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3E7A" w:rsidRPr="00E67212" w:rsidRDefault="006E3E7A" w:rsidP="00F474C8">
            <w:pPr>
              <w:ind w:left="34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Skogerboe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G. </w:t>
            </w:r>
            <w:proofErr w:type="gramStart"/>
            <w:r w:rsidRPr="00E67212">
              <w:rPr>
                <w:rFonts w:eastAsia="Calibri" w:cstheme="minorHAnsi"/>
                <w:sz w:val="16"/>
                <w:szCs w:val="16"/>
              </w:rPr>
              <w:t>V.,</w:t>
            </w:r>
            <w:proofErr w:type="gramEnd"/>
            <w:r w:rsidRPr="00E67212">
              <w:rPr>
                <w:rFonts w:eastAsia="Calibri" w:cstheme="minorHAnsi"/>
                <w:sz w:val="16"/>
                <w:szCs w:val="16"/>
              </w:rPr>
              <w:t xml:space="preserve"> and </w:t>
            </w: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Merkley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E67212">
              <w:rPr>
                <w:rFonts w:cstheme="minorHAnsi"/>
                <w:sz w:val="16"/>
                <w:szCs w:val="16"/>
              </w:rPr>
              <w:t>G. P.</w:t>
            </w:r>
          </w:p>
          <w:p w:rsidR="005E42D1" w:rsidRPr="00E67212" w:rsidRDefault="005E42D1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Irrigation maintenance and operations learning process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Highlands Ranch, Colorado, USA, Water Resources Publications, LLC, 358 p.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1996</w:t>
            </w:r>
          </w:p>
        </w:tc>
      </w:tr>
      <w:tr w:rsidR="00C55DE3" w:rsidRPr="00E67212" w:rsidTr="0009356C">
        <w:tc>
          <w:tcPr>
            <w:tcW w:w="675" w:type="dxa"/>
            <w:vAlign w:val="center"/>
          </w:tcPr>
          <w:p w:rsidR="00C55DE3" w:rsidRPr="00E67212" w:rsidRDefault="00C55D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 xml:space="preserve">Vermillion D. and </w:t>
            </w: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Sagardoy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J.A.</w:t>
            </w:r>
          </w:p>
        </w:tc>
        <w:tc>
          <w:tcPr>
            <w:tcW w:w="2435" w:type="dxa"/>
            <w:gridSpan w:val="3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Transfer of irrigation management services</w:t>
            </w:r>
          </w:p>
        </w:tc>
        <w:tc>
          <w:tcPr>
            <w:tcW w:w="3661" w:type="dxa"/>
            <w:gridSpan w:val="4"/>
            <w:vAlign w:val="center"/>
          </w:tcPr>
          <w:p w:rsidR="006E3E7A" w:rsidRPr="00E67212" w:rsidRDefault="006E3E7A" w:rsidP="00F474C8">
            <w:pPr>
              <w:ind w:left="34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FAO Irrigation and drainage papers No 58.</w:t>
            </w:r>
          </w:p>
          <w:p w:rsidR="00C55DE3" w:rsidRPr="00E67212" w:rsidRDefault="00C55DE3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1999</w:t>
            </w:r>
          </w:p>
        </w:tc>
      </w:tr>
      <w:tr w:rsidR="00C55DE3" w:rsidRPr="00E67212" w:rsidTr="0009356C">
        <w:tc>
          <w:tcPr>
            <w:tcW w:w="675" w:type="dxa"/>
            <w:vAlign w:val="center"/>
          </w:tcPr>
          <w:p w:rsidR="00C55DE3" w:rsidRPr="00E67212" w:rsidRDefault="00C55D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Snellen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W.B.</w:t>
            </w:r>
          </w:p>
        </w:tc>
        <w:tc>
          <w:tcPr>
            <w:tcW w:w="2435" w:type="dxa"/>
            <w:gridSpan w:val="3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Irrigation water management</w:t>
            </w:r>
          </w:p>
        </w:tc>
        <w:tc>
          <w:tcPr>
            <w:tcW w:w="3661" w:type="dxa"/>
            <w:gridSpan w:val="4"/>
            <w:vAlign w:val="center"/>
          </w:tcPr>
          <w:p w:rsidR="006E3E7A" w:rsidRPr="00E67212" w:rsidRDefault="006E3E7A" w:rsidP="00F474C8">
            <w:pPr>
              <w:ind w:left="34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Irrigation scheme operation and management. FAO.</w:t>
            </w:r>
          </w:p>
          <w:p w:rsidR="00C55DE3" w:rsidRPr="00E67212" w:rsidRDefault="00C55DE3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1996</w:t>
            </w:r>
          </w:p>
        </w:tc>
      </w:tr>
      <w:tr w:rsidR="00C55DE3" w:rsidRPr="00E67212" w:rsidTr="0009356C">
        <w:tc>
          <w:tcPr>
            <w:tcW w:w="675" w:type="dxa"/>
            <w:vAlign w:val="center"/>
          </w:tcPr>
          <w:p w:rsidR="00C55DE3" w:rsidRPr="00E67212" w:rsidRDefault="00C55D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>Vlotman</w:t>
            </w:r>
            <w:proofErr w:type="spellEnd"/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 xml:space="preserve"> W.F., Rycroft D.W., and </w:t>
            </w:r>
            <w:proofErr w:type="spellStart"/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>Smedema</w:t>
            </w:r>
            <w:proofErr w:type="spellEnd"/>
            <w:r w:rsidRPr="00E67212">
              <w:rPr>
                <w:rFonts w:eastAsia="Calibri" w:cstheme="minorHAnsi"/>
                <w:color w:val="0000FF"/>
                <w:sz w:val="16"/>
                <w:szCs w:val="16"/>
              </w:rPr>
              <w:t xml:space="preserve"> </w:t>
            </w:r>
            <w:r w:rsidRPr="00E67212">
              <w:rPr>
                <w:rFonts w:eastAsia="Calibri" w:cstheme="minorHAnsi"/>
                <w:color w:val="000000"/>
                <w:sz w:val="16"/>
                <w:szCs w:val="16"/>
              </w:rPr>
              <w:t>L.K.</w:t>
            </w:r>
          </w:p>
        </w:tc>
        <w:tc>
          <w:tcPr>
            <w:tcW w:w="2435" w:type="dxa"/>
            <w:gridSpan w:val="3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Modern Land Drainage</w:t>
            </w:r>
            <w:r w:rsidRPr="00E67212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E67212">
              <w:rPr>
                <w:rFonts w:eastAsia="Calibri" w:cstheme="minorHAnsi"/>
                <w:bCs/>
                <w:sz w:val="16"/>
                <w:szCs w:val="16"/>
              </w:rPr>
              <w:t>Planning, Design and Management of Agricultural Drainage Systems</w:t>
            </w:r>
          </w:p>
        </w:tc>
        <w:tc>
          <w:tcPr>
            <w:tcW w:w="3661" w:type="dxa"/>
            <w:gridSpan w:val="4"/>
            <w:vAlign w:val="center"/>
          </w:tcPr>
          <w:p w:rsidR="00C55DE3" w:rsidRPr="00E67212" w:rsidRDefault="00C55DE3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2004</w:t>
            </w:r>
          </w:p>
        </w:tc>
      </w:tr>
      <w:tr w:rsidR="00C55DE3" w:rsidRPr="00E67212" w:rsidTr="0009356C">
        <w:tc>
          <w:tcPr>
            <w:tcW w:w="675" w:type="dxa"/>
            <w:vAlign w:val="center"/>
          </w:tcPr>
          <w:p w:rsidR="00C55DE3" w:rsidRPr="00E67212" w:rsidRDefault="00C55DE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5DE3" w:rsidRPr="00E67212" w:rsidRDefault="006E3E7A" w:rsidP="00F474C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 xml:space="preserve">Keller J., and </w:t>
            </w: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Bliesner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R. D.</w:t>
            </w:r>
          </w:p>
        </w:tc>
        <w:tc>
          <w:tcPr>
            <w:tcW w:w="2435" w:type="dxa"/>
            <w:gridSpan w:val="3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Sprinkle and trickle irrigation</w:t>
            </w:r>
          </w:p>
        </w:tc>
        <w:tc>
          <w:tcPr>
            <w:tcW w:w="3661" w:type="dxa"/>
            <w:gridSpan w:val="4"/>
            <w:vAlign w:val="center"/>
          </w:tcPr>
          <w:p w:rsidR="00C55DE3" w:rsidRPr="00E67212" w:rsidRDefault="006E3E7A" w:rsidP="00F474C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 xml:space="preserve">New York, NY, Van </w:t>
            </w:r>
            <w:proofErr w:type="spellStart"/>
            <w:r w:rsidRPr="00E67212">
              <w:rPr>
                <w:rFonts w:eastAsia="Calibri" w:cstheme="minorHAnsi"/>
                <w:sz w:val="16"/>
                <w:szCs w:val="16"/>
              </w:rPr>
              <w:t>Nostrand</w:t>
            </w:r>
            <w:proofErr w:type="spellEnd"/>
            <w:r w:rsidRPr="00E67212">
              <w:rPr>
                <w:rFonts w:eastAsia="Calibri" w:cstheme="minorHAnsi"/>
                <w:sz w:val="16"/>
                <w:szCs w:val="16"/>
              </w:rPr>
              <w:t xml:space="preserve"> Reinhold, 652 pp.</w:t>
            </w:r>
          </w:p>
        </w:tc>
        <w:tc>
          <w:tcPr>
            <w:tcW w:w="1275" w:type="dxa"/>
            <w:gridSpan w:val="2"/>
            <w:vAlign w:val="center"/>
          </w:tcPr>
          <w:p w:rsidR="00C55DE3" w:rsidRPr="00E67212" w:rsidRDefault="006E3E7A" w:rsidP="00F474C8">
            <w:pPr>
              <w:ind w:left="34"/>
              <w:jc w:val="center"/>
              <w:rPr>
                <w:rFonts w:cstheme="minorHAnsi"/>
                <w:sz w:val="16"/>
                <w:szCs w:val="16"/>
              </w:rPr>
            </w:pPr>
            <w:r w:rsidRPr="00E67212">
              <w:rPr>
                <w:rFonts w:eastAsia="Calibri" w:cstheme="minorHAnsi"/>
                <w:sz w:val="16"/>
                <w:szCs w:val="16"/>
              </w:rPr>
              <w:t>1990</w:t>
            </w:r>
          </w:p>
        </w:tc>
      </w:tr>
      <w:tr w:rsidR="0009356C" w:rsidTr="0009356C">
        <w:tc>
          <w:tcPr>
            <w:tcW w:w="675" w:type="dxa"/>
            <w:vAlign w:val="center"/>
          </w:tcPr>
          <w:p w:rsidR="0009356C" w:rsidRPr="00675084" w:rsidRDefault="0009356C" w:rsidP="0009356C">
            <w:pPr>
              <w:ind w:left="1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701" w:type="dxa"/>
            <w:gridSpan w:val="2"/>
            <w:vAlign w:val="center"/>
          </w:tcPr>
          <w:p w:rsidR="0009356C" w:rsidRPr="00D02E1F" w:rsidRDefault="0009356C" w:rsidP="00F474C8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09356C" w:rsidRPr="00D02E1F" w:rsidRDefault="0009356C" w:rsidP="00F474C8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09356C" w:rsidRPr="00D02E1F" w:rsidRDefault="0009356C" w:rsidP="00F474C8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267" w:type="dxa"/>
            <w:vAlign w:val="center"/>
          </w:tcPr>
          <w:p w:rsidR="0009356C" w:rsidRPr="00D02E1F" w:rsidRDefault="0009356C" w:rsidP="00F474C8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8F7D0A" w:rsidP="002821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93E69"/>
    <w:multiLevelType w:val="hybridMultilevel"/>
    <w:tmpl w:val="DB9C9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9356C"/>
    <w:rsid w:val="000E3208"/>
    <w:rsid w:val="001312B9"/>
    <w:rsid w:val="001E42A5"/>
    <w:rsid w:val="001E73CB"/>
    <w:rsid w:val="001F34D7"/>
    <w:rsid w:val="002319BC"/>
    <w:rsid w:val="00255EDE"/>
    <w:rsid w:val="002611DF"/>
    <w:rsid w:val="002821A3"/>
    <w:rsid w:val="00296294"/>
    <w:rsid w:val="002F0738"/>
    <w:rsid w:val="00307656"/>
    <w:rsid w:val="00322F84"/>
    <w:rsid w:val="004666C8"/>
    <w:rsid w:val="004C1CC6"/>
    <w:rsid w:val="004D4A4F"/>
    <w:rsid w:val="00513136"/>
    <w:rsid w:val="0052705F"/>
    <w:rsid w:val="00535E50"/>
    <w:rsid w:val="005559C8"/>
    <w:rsid w:val="005E42D1"/>
    <w:rsid w:val="00697CE5"/>
    <w:rsid w:val="006E3E7A"/>
    <w:rsid w:val="00713557"/>
    <w:rsid w:val="008364F9"/>
    <w:rsid w:val="00870879"/>
    <w:rsid w:val="00883D4B"/>
    <w:rsid w:val="008F548C"/>
    <w:rsid w:val="008F7D0A"/>
    <w:rsid w:val="00927F2D"/>
    <w:rsid w:val="009B28FB"/>
    <w:rsid w:val="009E2BF4"/>
    <w:rsid w:val="00AD3B4C"/>
    <w:rsid w:val="00AE67EE"/>
    <w:rsid w:val="00C21CE9"/>
    <w:rsid w:val="00C55DE3"/>
    <w:rsid w:val="00C73558"/>
    <w:rsid w:val="00CC0E96"/>
    <w:rsid w:val="00CC7AA9"/>
    <w:rsid w:val="00CD3D20"/>
    <w:rsid w:val="00D02E1F"/>
    <w:rsid w:val="00D21EFD"/>
    <w:rsid w:val="00D554D7"/>
    <w:rsid w:val="00D56F7B"/>
    <w:rsid w:val="00D57E7D"/>
    <w:rsid w:val="00DD5511"/>
    <w:rsid w:val="00DF0ABC"/>
    <w:rsid w:val="00E67212"/>
    <w:rsid w:val="00E83431"/>
    <w:rsid w:val="00F45AEC"/>
    <w:rsid w:val="00F474C8"/>
    <w:rsid w:val="00F74B6D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6</cp:revision>
  <dcterms:created xsi:type="dcterms:W3CDTF">2015-01-20T12:32:00Z</dcterms:created>
  <dcterms:modified xsi:type="dcterms:W3CDTF">2015-01-21T09:32:00Z</dcterms:modified>
</cp:coreProperties>
</file>