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558"/>
        <w:gridCol w:w="1251"/>
        <w:gridCol w:w="567"/>
        <w:gridCol w:w="1186"/>
        <w:gridCol w:w="515"/>
        <w:gridCol w:w="734"/>
        <w:gridCol w:w="1109"/>
        <w:gridCol w:w="1429"/>
        <w:gridCol w:w="414"/>
        <w:gridCol w:w="709"/>
        <w:gridCol w:w="8"/>
        <w:gridCol w:w="1267"/>
      </w:tblGrid>
      <w:tr w:rsidR="009E2BF4" w:rsidRPr="00181433" w:rsidTr="00617514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181433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938" w:type="dxa"/>
            <w:gridSpan w:val="10"/>
            <w:vMerge w:val="restart"/>
            <w:vAlign w:val="center"/>
          </w:tcPr>
          <w:p w:rsidR="009E2BF4" w:rsidRPr="00DE5C18" w:rsidRDefault="00C75E02" w:rsidP="009E2BF4">
            <w:pPr>
              <w:jc w:val="center"/>
              <w:rPr>
                <w:rFonts w:cstheme="minorHAnsi"/>
                <w:i/>
              </w:rPr>
            </w:pPr>
            <w:r w:rsidRPr="00DE5C18">
              <w:rPr>
                <w:rFonts w:eastAsia="MS Mincho" w:cstheme="minorHAnsi"/>
                <w:b/>
                <w:lang w:eastAsia="ja-JP"/>
              </w:rPr>
              <w:t>GIS AND HYDROINFORMATICS TOOLS</w:t>
            </w:r>
          </w:p>
        </w:tc>
      </w:tr>
      <w:tr w:rsidR="009E2BF4" w:rsidRPr="00181433" w:rsidTr="00617514">
        <w:tc>
          <w:tcPr>
            <w:tcW w:w="1809" w:type="dxa"/>
            <w:gridSpan w:val="2"/>
            <w:vAlign w:val="center"/>
          </w:tcPr>
          <w:p w:rsidR="009E2BF4" w:rsidRPr="00181433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938" w:type="dxa"/>
            <w:gridSpan w:val="10"/>
            <w:vMerge/>
          </w:tcPr>
          <w:p w:rsidR="009E2BF4" w:rsidRPr="00181433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181433" w:rsidTr="00617514">
        <w:tc>
          <w:tcPr>
            <w:tcW w:w="1809" w:type="dxa"/>
            <w:gridSpan w:val="2"/>
            <w:vAlign w:val="center"/>
          </w:tcPr>
          <w:p w:rsidR="009E2BF4" w:rsidRPr="00181433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Number of ECTS:</w:t>
            </w:r>
            <w:r w:rsidR="00F065B0">
              <w:rPr>
                <w:rFonts w:cstheme="minorHAnsi"/>
                <w:sz w:val="16"/>
                <w:szCs w:val="16"/>
              </w:rPr>
              <w:t xml:space="preserve">   4</w:t>
            </w:r>
          </w:p>
        </w:tc>
        <w:tc>
          <w:tcPr>
            <w:tcW w:w="7938" w:type="dxa"/>
            <w:gridSpan w:val="10"/>
            <w:vMerge/>
          </w:tcPr>
          <w:p w:rsidR="009E2BF4" w:rsidRPr="00181433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11DF" w:rsidRPr="00181433" w:rsidTr="00617514">
        <w:tc>
          <w:tcPr>
            <w:tcW w:w="1809" w:type="dxa"/>
            <w:gridSpan w:val="2"/>
            <w:vAlign w:val="center"/>
          </w:tcPr>
          <w:p w:rsidR="002611DF" w:rsidRPr="00181433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938" w:type="dxa"/>
            <w:gridSpan w:val="10"/>
          </w:tcPr>
          <w:p w:rsidR="002611DF" w:rsidRPr="00DE5C18" w:rsidRDefault="002B46B3" w:rsidP="00F065B0">
            <w:pPr>
              <w:rPr>
                <w:rFonts w:cstheme="minorHAnsi"/>
                <w:sz w:val="20"/>
                <w:szCs w:val="20"/>
              </w:rPr>
            </w:pPr>
            <w:r w:rsidRPr="00DE5C18">
              <w:rPr>
                <w:rFonts w:cstheme="minorHAnsi"/>
                <w:sz w:val="20"/>
                <w:szCs w:val="20"/>
                <w:lang w:val="pt-BR"/>
              </w:rPr>
              <w:t xml:space="preserve">Dragan Savic, Atila Salvai, </w:t>
            </w:r>
            <w:r w:rsidR="00F065B0" w:rsidRPr="00DE5C18">
              <w:rPr>
                <w:rFonts w:cstheme="minorHAnsi"/>
                <w:sz w:val="20"/>
                <w:szCs w:val="20"/>
                <w:lang w:val="pt-BR"/>
              </w:rPr>
              <w:t>Pavel Benka</w:t>
            </w:r>
          </w:p>
        </w:tc>
      </w:tr>
      <w:tr w:rsidR="00DF0ABC" w:rsidRPr="00181433" w:rsidTr="00617514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181433" w:rsidRDefault="002611DF" w:rsidP="009E2BF4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Course s</w:t>
            </w:r>
            <w:r w:rsidR="00AE67EE" w:rsidRPr="00181433">
              <w:rPr>
                <w:rFonts w:cstheme="minorHAnsi"/>
                <w:sz w:val="16"/>
                <w:szCs w:val="16"/>
              </w:rPr>
              <w:t>tatus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DF0ABC" w:rsidRPr="00181433" w:rsidRDefault="00AE67EE" w:rsidP="001312B9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Elective</w:t>
            </w:r>
          </w:p>
        </w:tc>
      </w:tr>
      <w:tr w:rsidR="009E2BF4" w:rsidRPr="00181433" w:rsidTr="00F065B0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181433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9E2BF4" w:rsidRPr="00181433" w:rsidTr="00617514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81433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Lectures:</w:t>
            </w:r>
            <w:r w:rsidR="002B46B3" w:rsidRPr="0018143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81433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Practical classes:</w:t>
            </w:r>
            <w:r w:rsidR="002B46B3" w:rsidRPr="0018143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81433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81433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81433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9E2BF4" w:rsidRPr="00181433" w:rsidTr="00617514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181433" w:rsidRDefault="009E2BF4" w:rsidP="005E42D1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938" w:type="dxa"/>
            <w:gridSpan w:val="10"/>
            <w:shd w:val="clear" w:color="auto" w:fill="C2D69B" w:themeFill="accent3" w:themeFillTint="99"/>
            <w:vAlign w:val="center"/>
          </w:tcPr>
          <w:p w:rsidR="009E2BF4" w:rsidRPr="00181433" w:rsidRDefault="002B46B3" w:rsidP="005E42D1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Basics in mathematics, IT skills</w:t>
            </w:r>
          </w:p>
        </w:tc>
      </w:tr>
      <w:tr w:rsidR="005E42D1" w:rsidRPr="00181433" w:rsidTr="00F065B0">
        <w:tc>
          <w:tcPr>
            <w:tcW w:w="9747" w:type="dxa"/>
            <w:gridSpan w:val="12"/>
          </w:tcPr>
          <w:p w:rsidR="005E42D1" w:rsidRPr="0018143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Educational goal</w:t>
            </w:r>
          </w:p>
          <w:p w:rsidR="005E42D1" w:rsidRPr="00181433" w:rsidRDefault="002B46B3" w:rsidP="009E2BF4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bCs/>
                <w:sz w:val="16"/>
                <w:szCs w:val="16"/>
              </w:rPr>
              <w:t xml:space="preserve">The purpose of this course is to give an introduction to GIS and basic understanding of tools in the emerging field of </w:t>
            </w:r>
            <w:proofErr w:type="spellStart"/>
            <w:r w:rsidRPr="00181433">
              <w:rPr>
                <w:rFonts w:cstheme="minorHAnsi"/>
                <w:bCs/>
                <w:sz w:val="16"/>
                <w:szCs w:val="16"/>
              </w:rPr>
              <w:t>hydroinformatics</w:t>
            </w:r>
            <w:proofErr w:type="spellEnd"/>
            <w:r w:rsidRPr="00181433">
              <w:rPr>
                <w:rFonts w:cstheme="minorHAnsi"/>
                <w:bCs/>
                <w:sz w:val="16"/>
                <w:szCs w:val="16"/>
              </w:rPr>
              <w:t xml:space="preserve"> for the practicing engineer. It also offers gaining practical experience in using these tools within the agricultural water management context</w:t>
            </w:r>
          </w:p>
        </w:tc>
      </w:tr>
      <w:tr w:rsidR="005E42D1" w:rsidRPr="00181433" w:rsidTr="00F065B0">
        <w:tc>
          <w:tcPr>
            <w:tcW w:w="9747" w:type="dxa"/>
            <w:gridSpan w:val="12"/>
          </w:tcPr>
          <w:p w:rsidR="005E42D1" w:rsidRPr="00181433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Educational outcomes</w:t>
            </w:r>
          </w:p>
          <w:p w:rsidR="002B46B3" w:rsidRPr="00181433" w:rsidRDefault="002B46B3" w:rsidP="002B46B3">
            <w:pPr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Upon completion of the course, the student will: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understand how geographical information systems work;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be able to explain the difference between raster and vector format;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describe the basics of how geographical databases work and are built up;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be able to evaluate quality and usability of different data sources for different GIS applications and analyses;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have acquired understanding of systems analysis approach to modeling of agricultural water systems; 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have acquired basic knowledge of a number of decision making methods and tools; 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be able to make appropriate and critical use of these methods and tools for a variety of water related problems; 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be able to identify suitable methods and tools for solving allocation problems; 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be able to critically assess research results; </w:t>
            </w:r>
          </w:p>
          <w:p w:rsidR="002B46B3" w:rsidRPr="00181433" w:rsidRDefault="002B46B3" w:rsidP="002B46B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improve skills for independent learning, reporting and presentation; </w:t>
            </w:r>
          </w:p>
          <w:p w:rsidR="005E42D1" w:rsidRPr="00181433" w:rsidRDefault="002B46B3" w:rsidP="002B46B3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improve IT skills</w:t>
            </w:r>
          </w:p>
        </w:tc>
      </w:tr>
      <w:tr w:rsidR="005E42D1" w:rsidRPr="00181433" w:rsidTr="00F065B0">
        <w:tc>
          <w:tcPr>
            <w:tcW w:w="9747" w:type="dxa"/>
            <w:gridSpan w:val="12"/>
          </w:tcPr>
          <w:p w:rsidR="005E42D1" w:rsidRPr="0018143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Course content</w:t>
            </w:r>
          </w:p>
          <w:p w:rsidR="002B46B3" w:rsidRPr="00181433" w:rsidRDefault="002B46B3" w:rsidP="002B46B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Geographic Information Systems and visualization techniques, </w:t>
            </w:r>
            <w:r w:rsidRPr="00181433">
              <w:rPr>
                <w:rFonts w:cstheme="minorHAnsi"/>
                <w:iCs/>
                <w:sz w:val="16"/>
                <w:szCs w:val="16"/>
              </w:rPr>
              <w:t>geographical data and databases, analyses in raster and vector environment in GIS, reference systems and map projections, creation of maps ready for printing or digital publishing</w:t>
            </w:r>
            <w:r w:rsidRPr="00181433">
              <w:rPr>
                <w:rFonts w:cstheme="minorHAnsi"/>
                <w:iCs/>
                <w:sz w:val="16"/>
                <w:szCs w:val="16"/>
                <w:lang w:val="sr-Cyrl-CS"/>
              </w:rPr>
              <w:t>.</w:t>
            </w:r>
          </w:p>
          <w:p w:rsidR="005E42D1" w:rsidRPr="00181433" w:rsidRDefault="002B46B3" w:rsidP="002B46B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Intelligent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optimisation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 strategies - modern heuristic methods (e.g., evolutionary computing, simulated annealing, shuffled complex algorithm, etc); Data mining methods (e.g., predictive data mining, knowledge discovery, rule-based methods, artificial neural networks, genetic programming, fuzzy sets); Decision Support Systems, DSS (e.g., history, principles, frameworks, software tools, water management DSS); Complexity (cellular automata and grid-based methods);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Modelling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 and models (typology, scale, forward and inverse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modelling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>, calibration, validation and verification); Application examples in agricultural water management: Calibration and validation</w:t>
            </w:r>
          </w:p>
        </w:tc>
      </w:tr>
      <w:tr w:rsidR="005E42D1" w:rsidRPr="00181433" w:rsidTr="00F065B0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181433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Teaching methods</w:t>
            </w:r>
          </w:p>
          <w:p w:rsidR="005E42D1" w:rsidRPr="00181433" w:rsidRDefault="002B46B3" w:rsidP="002B46B3">
            <w:pPr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Lectures, problem sheets, tutorials.</w:t>
            </w:r>
          </w:p>
        </w:tc>
      </w:tr>
      <w:tr w:rsidR="005E42D1" w:rsidRPr="00181433" w:rsidTr="00F065B0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181433" w:rsidRDefault="005E42D1" w:rsidP="005E42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Knowledge evaluation (maximum 100 points)</w:t>
            </w:r>
          </w:p>
        </w:tc>
      </w:tr>
      <w:tr w:rsidR="00F065B0" w:rsidTr="00585434">
        <w:tc>
          <w:tcPr>
            <w:tcW w:w="2376" w:type="dxa"/>
            <w:gridSpan w:val="3"/>
            <w:shd w:val="clear" w:color="auto" w:fill="auto"/>
            <w:vAlign w:val="center"/>
          </w:tcPr>
          <w:p w:rsidR="00F065B0" w:rsidRPr="005E42D1" w:rsidRDefault="00F065B0" w:rsidP="00F06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5B0" w:rsidRPr="005E42D1" w:rsidRDefault="00F065B0" w:rsidP="00F06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F065B0" w:rsidRPr="005E42D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F065B0" w:rsidRPr="005E42D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F065B0" w:rsidRPr="005E42D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065B0" w:rsidRPr="005E42D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F065B0" w:rsidTr="00585434">
        <w:tc>
          <w:tcPr>
            <w:tcW w:w="2376" w:type="dxa"/>
            <w:gridSpan w:val="3"/>
            <w:shd w:val="clear" w:color="auto" w:fill="auto"/>
            <w:vAlign w:val="center"/>
          </w:tcPr>
          <w:p w:rsidR="00F065B0" w:rsidRPr="00C21CE9" w:rsidRDefault="00F065B0" w:rsidP="00F06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5B0" w:rsidRDefault="00F065B0" w:rsidP="00F065B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F065B0" w:rsidRPr="005E42D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F065B0" w:rsidRPr="00EA0F5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F065B0" w:rsidRPr="005E42D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065B0" w:rsidRPr="005E42D1" w:rsidRDefault="00F065B0" w:rsidP="00F0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181433" w:rsidTr="00F065B0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181433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5E42D1" w:rsidRPr="00181433" w:rsidTr="00470CA8">
        <w:tc>
          <w:tcPr>
            <w:tcW w:w="558" w:type="dxa"/>
            <w:vAlign w:val="center"/>
          </w:tcPr>
          <w:p w:rsidR="005E42D1" w:rsidRPr="00181433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818" w:type="dxa"/>
            <w:gridSpan w:val="2"/>
            <w:vAlign w:val="center"/>
          </w:tcPr>
          <w:p w:rsidR="005E42D1" w:rsidRPr="00181433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181433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181433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181433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5E42D1" w:rsidRPr="00181433" w:rsidTr="00470CA8">
        <w:tc>
          <w:tcPr>
            <w:tcW w:w="558" w:type="dxa"/>
            <w:vAlign w:val="center"/>
          </w:tcPr>
          <w:p w:rsidR="005E42D1" w:rsidRPr="00181433" w:rsidRDefault="005E42D1" w:rsidP="00470CA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5E42D1" w:rsidRPr="00181433" w:rsidRDefault="002B46B3" w:rsidP="00D17CE4">
            <w:pPr>
              <w:tabs>
                <w:tab w:val="num" w:pos="108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Tim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Ormsby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, Eileen Napoleon, Robert Burke, Carolyn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Groessl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>, &amp; Laura Feaster.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iCs/>
                <w:sz w:val="16"/>
                <w:szCs w:val="16"/>
              </w:rPr>
              <w:t xml:space="preserve">Getting to Know </w:t>
            </w:r>
            <w:proofErr w:type="spellStart"/>
            <w:r w:rsidRPr="00181433">
              <w:rPr>
                <w:rFonts w:cstheme="minorHAnsi"/>
                <w:iCs/>
                <w:sz w:val="16"/>
                <w:szCs w:val="16"/>
              </w:rPr>
              <w:t>ArcGIS</w:t>
            </w:r>
            <w:proofErr w:type="spellEnd"/>
            <w:r w:rsidRPr="00181433">
              <w:rPr>
                <w:rFonts w:cstheme="minorHAnsi"/>
                <w:iCs/>
                <w:sz w:val="16"/>
                <w:szCs w:val="16"/>
              </w:rPr>
              <w:t xml:space="preserve"> desktop</w:t>
            </w:r>
            <w:r w:rsidRPr="00181433">
              <w:rPr>
                <w:rFonts w:cstheme="minorHAnsi"/>
                <w:sz w:val="16"/>
                <w:szCs w:val="16"/>
              </w:rPr>
              <w:t xml:space="preserve">. </w:t>
            </w:r>
            <w:r w:rsidRPr="00181433">
              <w:rPr>
                <w:rFonts w:cstheme="minorHAnsi"/>
                <w:sz w:val="16"/>
                <w:szCs w:val="16"/>
                <w:lang w:val="sr-Cyrl-CS"/>
              </w:rPr>
              <w:t>()</w:t>
            </w:r>
            <w:r w:rsidRPr="00181433">
              <w:rPr>
                <w:rFonts w:cstheme="minorHAnsi"/>
                <w:sz w:val="16"/>
                <w:szCs w:val="16"/>
              </w:rPr>
              <w:t xml:space="preserve">. 2nd Ed. Updated for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ArcGIS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 9.</w:t>
            </w:r>
          </w:p>
        </w:tc>
        <w:tc>
          <w:tcPr>
            <w:tcW w:w="3661" w:type="dxa"/>
            <w:gridSpan w:val="4"/>
            <w:vAlign w:val="center"/>
          </w:tcPr>
          <w:p w:rsidR="002B46B3" w:rsidRPr="00181433" w:rsidRDefault="002B46B3" w:rsidP="00D17CE4">
            <w:pPr>
              <w:tabs>
                <w:tab w:val="num" w:pos="108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Redlands, CA: ESRI Press.</w:t>
            </w:r>
          </w:p>
          <w:p w:rsidR="005E42D1" w:rsidRPr="00181433" w:rsidRDefault="005E42D1" w:rsidP="00D17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42D1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2004</w:t>
            </w:r>
          </w:p>
        </w:tc>
      </w:tr>
      <w:tr w:rsidR="002B46B3" w:rsidRPr="00181433" w:rsidTr="00470CA8">
        <w:tc>
          <w:tcPr>
            <w:tcW w:w="558" w:type="dxa"/>
            <w:vAlign w:val="center"/>
          </w:tcPr>
          <w:p w:rsidR="002B46B3" w:rsidRPr="00181433" w:rsidRDefault="002B46B3" w:rsidP="00470CA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B46B3" w:rsidRPr="00181433" w:rsidRDefault="002B46B3" w:rsidP="00D17CE4">
            <w:pPr>
              <w:tabs>
                <w:tab w:val="num" w:pos="1080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81433">
              <w:rPr>
                <w:rFonts w:cstheme="minorHAnsi"/>
                <w:sz w:val="16"/>
                <w:szCs w:val="16"/>
              </w:rPr>
              <w:t>Bolstad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 P.</w:t>
            </w:r>
          </w:p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GIS Fundamentals, volume 2.</w:t>
            </w:r>
          </w:p>
        </w:tc>
        <w:tc>
          <w:tcPr>
            <w:tcW w:w="3661" w:type="dxa"/>
            <w:gridSpan w:val="4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Atlas Books, Inc.</w:t>
            </w:r>
          </w:p>
        </w:tc>
        <w:tc>
          <w:tcPr>
            <w:tcW w:w="1275" w:type="dxa"/>
            <w:gridSpan w:val="2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2005</w:t>
            </w:r>
          </w:p>
        </w:tc>
      </w:tr>
      <w:tr w:rsidR="002B46B3" w:rsidRPr="00181433" w:rsidTr="00470CA8">
        <w:tc>
          <w:tcPr>
            <w:tcW w:w="558" w:type="dxa"/>
            <w:vAlign w:val="center"/>
          </w:tcPr>
          <w:p w:rsidR="002B46B3" w:rsidRPr="00181433" w:rsidRDefault="002B46B3" w:rsidP="00470CA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B46B3" w:rsidRPr="00181433" w:rsidRDefault="002B46B3" w:rsidP="00D17CE4">
            <w:pPr>
              <w:tabs>
                <w:tab w:val="num" w:pos="108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 xml:space="preserve">Longley P.,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Goodchild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 M., Maguire D., and </w:t>
            </w:r>
            <w:proofErr w:type="spellStart"/>
            <w:r w:rsidRPr="00181433">
              <w:rPr>
                <w:rFonts w:cstheme="minorHAnsi"/>
                <w:sz w:val="16"/>
                <w:szCs w:val="16"/>
              </w:rPr>
              <w:t>Rhind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 D.</w:t>
            </w:r>
          </w:p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Geographic Information Systems and Science</w:t>
            </w:r>
          </w:p>
        </w:tc>
        <w:tc>
          <w:tcPr>
            <w:tcW w:w="3661" w:type="dxa"/>
            <w:gridSpan w:val="4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John Wiley and Sons, LTD.</w:t>
            </w:r>
          </w:p>
        </w:tc>
        <w:tc>
          <w:tcPr>
            <w:tcW w:w="1275" w:type="dxa"/>
            <w:gridSpan w:val="2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  <w:lang w:val="sr-Cyrl-CS"/>
              </w:rPr>
              <w:t>2002</w:t>
            </w:r>
          </w:p>
        </w:tc>
      </w:tr>
      <w:tr w:rsidR="002B46B3" w:rsidRPr="00181433" w:rsidTr="00470CA8">
        <w:tc>
          <w:tcPr>
            <w:tcW w:w="558" w:type="dxa"/>
            <w:vAlign w:val="center"/>
          </w:tcPr>
          <w:p w:rsidR="002B46B3" w:rsidRPr="00181433" w:rsidRDefault="002B46B3" w:rsidP="00470CA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B46B3" w:rsidRPr="00181433" w:rsidRDefault="002B46B3" w:rsidP="00D17CE4">
            <w:pPr>
              <w:tabs>
                <w:tab w:val="num" w:pos="1080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81433">
              <w:rPr>
                <w:rFonts w:cstheme="minorHAnsi"/>
                <w:sz w:val="16"/>
                <w:szCs w:val="16"/>
              </w:rPr>
              <w:t>Haykin</w:t>
            </w:r>
            <w:proofErr w:type="spellEnd"/>
            <w:r w:rsidRPr="00181433">
              <w:rPr>
                <w:rFonts w:cstheme="minorHAnsi"/>
                <w:sz w:val="16"/>
                <w:szCs w:val="16"/>
              </w:rPr>
              <w:t xml:space="preserve"> S</w:t>
            </w:r>
            <w:r w:rsidRPr="00181433">
              <w:rPr>
                <w:rFonts w:cstheme="minorHAnsi"/>
                <w:sz w:val="16"/>
                <w:szCs w:val="16"/>
                <w:lang w:val="sr-Cyrl-CS"/>
              </w:rPr>
              <w:t>.</w:t>
            </w:r>
          </w:p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iCs/>
                <w:sz w:val="16"/>
                <w:szCs w:val="16"/>
              </w:rPr>
              <w:t>Neural Networks: A Comprehensive Foundation</w:t>
            </w:r>
          </w:p>
        </w:tc>
        <w:tc>
          <w:tcPr>
            <w:tcW w:w="3661" w:type="dxa"/>
            <w:gridSpan w:val="4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Pearson</w:t>
            </w:r>
          </w:p>
        </w:tc>
        <w:tc>
          <w:tcPr>
            <w:tcW w:w="1275" w:type="dxa"/>
            <w:gridSpan w:val="2"/>
            <w:vAlign w:val="center"/>
          </w:tcPr>
          <w:p w:rsidR="002B46B3" w:rsidRPr="00181433" w:rsidRDefault="002B46B3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</w:rPr>
              <w:t>1999</w:t>
            </w:r>
          </w:p>
        </w:tc>
      </w:tr>
      <w:tr w:rsidR="00470CA8" w:rsidRPr="00181433" w:rsidTr="00470CA8">
        <w:tc>
          <w:tcPr>
            <w:tcW w:w="558" w:type="dxa"/>
            <w:vAlign w:val="center"/>
          </w:tcPr>
          <w:p w:rsidR="00470CA8" w:rsidRPr="00470CA8" w:rsidRDefault="00470CA8" w:rsidP="00470C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1818" w:type="dxa"/>
            <w:gridSpan w:val="2"/>
            <w:vAlign w:val="center"/>
          </w:tcPr>
          <w:p w:rsidR="00470CA8" w:rsidRPr="00181433" w:rsidRDefault="00470CA8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  <w:lang w:val="nb-NO"/>
              </w:rPr>
              <w:t>Ross T</w:t>
            </w:r>
            <w:r w:rsidRPr="00181433">
              <w:rPr>
                <w:rFonts w:cstheme="minorHAnsi"/>
                <w:sz w:val="16"/>
                <w:szCs w:val="16"/>
                <w:lang w:val="sr-Cyrl-CS"/>
              </w:rPr>
              <w:t>.</w:t>
            </w:r>
            <w:r w:rsidRPr="00181433">
              <w:rPr>
                <w:rFonts w:cstheme="minorHAnsi"/>
                <w:sz w:val="16"/>
                <w:szCs w:val="16"/>
                <w:lang w:val="nb-NO"/>
              </w:rPr>
              <w:t xml:space="preserve"> J</w:t>
            </w:r>
            <w:r w:rsidRPr="00181433">
              <w:rPr>
                <w:rFonts w:cstheme="minorHAns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70CA8" w:rsidRPr="00181433" w:rsidRDefault="00470CA8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iCs/>
                <w:sz w:val="16"/>
                <w:szCs w:val="16"/>
                <w:lang w:val="nb-NO"/>
              </w:rPr>
              <w:t>Fuzzy Logic with Engineering Applications</w:t>
            </w:r>
          </w:p>
        </w:tc>
        <w:tc>
          <w:tcPr>
            <w:tcW w:w="3661" w:type="dxa"/>
            <w:gridSpan w:val="4"/>
            <w:vAlign w:val="center"/>
          </w:tcPr>
          <w:p w:rsidR="00470CA8" w:rsidRPr="00181433" w:rsidRDefault="00470CA8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  <w:lang w:val="nb-NO"/>
              </w:rPr>
              <w:t>John Wiley</w:t>
            </w:r>
          </w:p>
        </w:tc>
        <w:tc>
          <w:tcPr>
            <w:tcW w:w="1275" w:type="dxa"/>
            <w:gridSpan w:val="2"/>
            <w:vAlign w:val="center"/>
          </w:tcPr>
          <w:p w:rsidR="00470CA8" w:rsidRPr="00181433" w:rsidRDefault="00470CA8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433">
              <w:rPr>
                <w:rFonts w:cstheme="minorHAnsi"/>
                <w:sz w:val="16"/>
                <w:szCs w:val="16"/>
                <w:lang w:val="sr-Cyrl-CS"/>
              </w:rPr>
              <w:t>2004</w:t>
            </w:r>
          </w:p>
        </w:tc>
      </w:tr>
      <w:tr w:rsidR="00D02E1F" w:rsidRPr="00181433" w:rsidTr="00470CA8">
        <w:tc>
          <w:tcPr>
            <w:tcW w:w="558" w:type="dxa"/>
            <w:vAlign w:val="center"/>
          </w:tcPr>
          <w:p w:rsidR="00D02E1F" w:rsidRPr="00470CA8" w:rsidRDefault="00470CA8" w:rsidP="00470CA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1818" w:type="dxa"/>
            <w:gridSpan w:val="2"/>
            <w:vAlign w:val="center"/>
          </w:tcPr>
          <w:p w:rsidR="00D02E1F" w:rsidRPr="00181433" w:rsidRDefault="00D02E1F" w:rsidP="00D17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181433" w:rsidRDefault="00D02E1F" w:rsidP="00D17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181433" w:rsidRDefault="00470CA8" w:rsidP="00D17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</w:t>
            </w:r>
          </w:p>
        </w:tc>
        <w:tc>
          <w:tcPr>
            <w:tcW w:w="1275" w:type="dxa"/>
            <w:gridSpan w:val="2"/>
            <w:vAlign w:val="center"/>
          </w:tcPr>
          <w:p w:rsidR="00D02E1F" w:rsidRPr="00181433" w:rsidRDefault="00D02E1F" w:rsidP="00D17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617514" w:rsidP="00470CA8">
            <w:r>
              <w:t xml:space="preserve">   </w:t>
            </w:r>
            <w:r w:rsidR="001312B9"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DE5C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470C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DE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470CA8"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 w:rsidP="00470CA8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DE5C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470CA8">
            <w:pPr>
              <w:rPr>
                <w:sz w:val="16"/>
                <w:szCs w:val="16"/>
              </w:rPr>
            </w:pPr>
          </w:p>
          <w:p w:rsidR="001312B9" w:rsidRPr="001312B9" w:rsidRDefault="00181433" w:rsidP="00DE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 w:rsidP="00470CA8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 w:rsidP="00470CA8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A82FB1"/>
    <w:sectPr w:rsidR="00DF0ABC" w:rsidSect="00A82FB1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E11"/>
    <w:multiLevelType w:val="hybridMultilevel"/>
    <w:tmpl w:val="E29C180E"/>
    <w:lvl w:ilvl="0" w:tplc="5840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5A6"/>
    <w:multiLevelType w:val="hybridMultilevel"/>
    <w:tmpl w:val="FABEF414"/>
    <w:lvl w:ilvl="0" w:tplc="95380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293C"/>
    <w:multiLevelType w:val="hybridMultilevel"/>
    <w:tmpl w:val="606C9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E7089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810F2"/>
    <w:rsid w:val="00181433"/>
    <w:rsid w:val="001E42A5"/>
    <w:rsid w:val="001F34D7"/>
    <w:rsid w:val="002319BC"/>
    <w:rsid w:val="00255EDE"/>
    <w:rsid w:val="002611DF"/>
    <w:rsid w:val="002821A3"/>
    <w:rsid w:val="00296294"/>
    <w:rsid w:val="002B46B3"/>
    <w:rsid w:val="002F0738"/>
    <w:rsid w:val="00322F84"/>
    <w:rsid w:val="00341F34"/>
    <w:rsid w:val="00443296"/>
    <w:rsid w:val="004666C8"/>
    <w:rsid w:val="00470CA8"/>
    <w:rsid w:val="004C1CC6"/>
    <w:rsid w:val="00513136"/>
    <w:rsid w:val="00535E50"/>
    <w:rsid w:val="005559C8"/>
    <w:rsid w:val="00585434"/>
    <w:rsid w:val="005D0385"/>
    <w:rsid w:val="005E42D1"/>
    <w:rsid w:val="00617514"/>
    <w:rsid w:val="00663E05"/>
    <w:rsid w:val="007E2731"/>
    <w:rsid w:val="008364F9"/>
    <w:rsid w:val="008F548C"/>
    <w:rsid w:val="009206DB"/>
    <w:rsid w:val="00927F2D"/>
    <w:rsid w:val="009B28FB"/>
    <w:rsid w:val="009E2BF4"/>
    <w:rsid w:val="00A82FB1"/>
    <w:rsid w:val="00AE67EE"/>
    <w:rsid w:val="00C21CE9"/>
    <w:rsid w:val="00C64032"/>
    <w:rsid w:val="00C75E02"/>
    <w:rsid w:val="00CC0E96"/>
    <w:rsid w:val="00CC7AA9"/>
    <w:rsid w:val="00CD3D20"/>
    <w:rsid w:val="00CF2AF4"/>
    <w:rsid w:val="00D02E1F"/>
    <w:rsid w:val="00D17CE4"/>
    <w:rsid w:val="00D21EFD"/>
    <w:rsid w:val="00D554D7"/>
    <w:rsid w:val="00D56F7B"/>
    <w:rsid w:val="00D57E7D"/>
    <w:rsid w:val="00DE5C18"/>
    <w:rsid w:val="00DF0ABC"/>
    <w:rsid w:val="00E41A32"/>
    <w:rsid w:val="00E83431"/>
    <w:rsid w:val="00F065B0"/>
    <w:rsid w:val="00F74B6D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8</cp:revision>
  <dcterms:created xsi:type="dcterms:W3CDTF">2015-01-20T13:03:00Z</dcterms:created>
  <dcterms:modified xsi:type="dcterms:W3CDTF">2015-01-21T09:32:00Z</dcterms:modified>
</cp:coreProperties>
</file>