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378"/>
        <w:gridCol w:w="278"/>
        <w:gridCol w:w="1713"/>
        <w:gridCol w:w="963"/>
        <w:gridCol w:w="1101"/>
        <w:gridCol w:w="141"/>
        <w:gridCol w:w="132"/>
        <w:gridCol w:w="1111"/>
        <w:gridCol w:w="374"/>
        <w:gridCol w:w="1039"/>
        <w:gridCol w:w="717"/>
      </w:tblGrid>
      <w:tr w:rsidR="00B1545C" w:rsidRPr="00967EC1" w:rsidTr="00280DBA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530" w:type="dxa"/>
            <w:gridSpan w:val="10"/>
            <w:vMerge w:val="restart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b/>
                <w:bCs/>
                <w:i/>
                <w:sz w:val="18"/>
                <w:szCs w:val="18"/>
                <w:lang w:val="en-GB"/>
              </w:rPr>
              <w:t>Animals he</w:t>
            </w:r>
            <w:r>
              <w:rPr>
                <w:rFonts w:cstheme="minorHAnsi"/>
                <w:b/>
                <w:bCs/>
                <w:i/>
                <w:sz w:val="18"/>
                <w:szCs w:val="18"/>
                <w:lang w:val="en-GB"/>
              </w:rPr>
              <w:t>a</w:t>
            </w:r>
            <w:r w:rsidRPr="00967EC1">
              <w:rPr>
                <w:rFonts w:cstheme="minorHAnsi"/>
                <w:b/>
                <w:bCs/>
                <w:i/>
                <w:sz w:val="18"/>
                <w:szCs w:val="18"/>
                <w:lang w:val="en-GB"/>
              </w:rPr>
              <w:t xml:space="preserve">lth protection </w:t>
            </w:r>
            <w:r>
              <w:rPr>
                <w:rFonts w:cstheme="minorHAnsi"/>
                <w:b/>
                <w:bCs/>
                <w:i/>
                <w:sz w:val="18"/>
                <w:szCs w:val="18"/>
                <w:lang w:val="en-GB"/>
              </w:rPr>
              <w:t xml:space="preserve">with the purpose of enhancing </w:t>
            </w:r>
            <w:r w:rsidRPr="00967EC1">
              <w:rPr>
                <w:rFonts w:cstheme="minorHAnsi"/>
                <w:b/>
                <w:bCs/>
                <w:i/>
                <w:sz w:val="18"/>
                <w:szCs w:val="18"/>
                <w:lang w:val="en-GB"/>
              </w:rPr>
              <w:t>rural development</w:t>
            </w:r>
          </w:p>
        </w:tc>
      </w:tr>
      <w:tr w:rsidR="00B1545C" w:rsidRPr="00967EC1" w:rsidTr="00280DBA">
        <w:tc>
          <w:tcPr>
            <w:tcW w:w="2092" w:type="dxa"/>
            <w:gridSpan w:val="2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Course id: 2</w:t>
            </w:r>
            <w:r>
              <w:rPr>
                <w:rFonts w:cstheme="minorHAnsi"/>
                <w:sz w:val="16"/>
                <w:szCs w:val="16"/>
                <w:lang w:val="en-GB"/>
              </w:rPr>
              <w:t>MRR</w:t>
            </w:r>
            <w:r w:rsidRPr="00967EC1">
              <w:rPr>
                <w:rFonts w:cstheme="minorHAnsi"/>
                <w:sz w:val="16"/>
                <w:szCs w:val="16"/>
                <w:lang w:val="en-GB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Pr="00967EC1">
              <w:rPr>
                <w:rFonts w:cstheme="minorHAnsi"/>
                <w:sz w:val="16"/>
                <w:szCs w:val="16"/>
                <w:lang w:val="en-GB"/>
              </w:rPr>
              <w:t>34</w:t>
            </w:r>
          </w:p>
        </w:tc>
        <w:tc>
          <w:tcPr>
            <w:tcW w:w="7530" w:type="dxa"/>
            <w:gridSpan w:val="10"/>
            <w:vMerge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B1545C" w:rsidRPr="00967EC1" w:rsidTr="00280DBA">
        <w:tc>
          <w:tcPr>
            <w:tcW w:w="2092" w:type="dxa"/>
            <w:gridSpan w:val="2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 xml:space="preserve">Number of ECTS: 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7530" w:type="dxa"/>
            <w:gridSpan w:val="10"/>
            <w:vMerge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B1545C" w:rsidRPr="00967EC1" w:rsidTr="00280DBA">
        <w:tc>
          <w:tcPr>
            <w:tcW w:w="2092" w:type="dxa"/>
            <w:gridSpan w:val="2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530" w:type="dxa"/>
            <w:gridSpan w:val="10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967EC1">
              <w:rPr>
                <w:rFonts w:cstheme="minorHAnsi"/>
                <w:lang w:val="en-GB"/>
              </w:rPr>
              <w:t>Branislava Belić, Marko Cincović</w:t>
            </w:r>
          </w:p>
        </w:tc>
      </w:tr>
      <w:tr w:rsidR="00B1545C" w:rsidRPr="00967EC1" w:rsidTr="00280DBA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530" w:type="dxa"/>
            <w:gridSpan w:val="10"/>
            <w:tcBorders>
              <w:bottom w:val="single" w:sz="4" w:space="0" w:color="auto"/>
            </w:tcBorders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Elective</w:t>
            </w:r>
          </w:p>
        </w:tc>
      </w:tr>
      <w:tr w:rsidR="00B1545C" w:rsidRPr="00967EC1" w:rsidTr="00280DBA">
        <w:trPr>
          <w:trHeight w:val="227"/>
        </w:trPr>
        <w:tc>
          <w:tcPr>
            <w:tcW w:w="9622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B1545C" w:rsidRPr="00967EC1" w:rsidTr="00280DBA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Lectures:2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Tutorials :2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Other classes:</w:t>
            </w:r>
          </w:p>
        </w:tc>
      </w:tr>
      <w:tr w:rsidR="00B1545C" w:rsidRPr="00967EC1" w:rsidTr="00280DBA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67EC1">
              <w:rPr>
                <w:rFonts w:cstheme="minorHAnsi"/>
                <w:sz w:val="20"/>
                <w:szCs w:val="20"/>
                <w:lang w:val="en-GB"/>
              </w:rPr>
              <w:t>Precondition courses</w:t>
            </w:r>
          </w:p>
        </w:tc>
        <w:tc>
          <w:tcPr>
            <w:tcW w:w="7530" w:type="dxa"/>
            <w:gridSpan w:val="10"/>
            <w:shd w:val="clear" w:color="auto" w:fill="C2D69B" w:themeFill="accent3" w:themeFillTint="99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Having passed all the mandatory exams from this academic year</w:t>
            </w:r>
          </w:p>
        </w:tc>
      </w:tr>
      <w:tr w:rsidR="00B1545C" w:rsidRPr="00967EC1" w:rsidTr="00280DBA">
        <w:tc>
          <w:tcPr>
            <w:tcW w:w="9622" w:type="dxa"/>
            <w:gridSpan w:val="12"/>
          </w:tcPr>
          <w:p w:rsidR="00B1545C" w:rsidRPr="00967EC1" w:rsidRDefault="00B1545C" w:rsidP="00B15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Educational goal</w:t>
            </w:r>
          </w:p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The aim of this course is to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introduce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students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to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breeding, biology and pathology of animals in the light of modern rural d</w:t>
            </w:r>
            <w:r>
              <w:rPr>
                <w:rFonts w:cstheme="minorHAnsi"/>
                <w:sz w:val="18"/>
                <w:szCs w:val="18"/>
                <w:lang w:val="en-GB"/>
              </w:rPr>
              <w:t>evelopment, as well as to help students realis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e the importance of veterinary profession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for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animals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’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health and welfare. </w:t>
            </w:r>
            <w:r>
              <w:rPr>
                <w:rFonts w:cstheme="minorHAnsi"/>
                <w:sz w:val="18"/>
                <w:szCs w:val="18"/>
                <w:lang w:val="en-GB"/>
              </w:rPr>
              <w:t>P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articular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emphasis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will be placed on pathophysiology - mechanisms of disease development in the conditions of modern production.</w:t>
            </w:r>
          </w:p>
        </w:tc>
      </w:tr>
      <w:tr w:rsidR="00B1545C" w:rsidRPr="00967EC1" w:rsidTr="00280DBA">
        <w:tc>
          <w:tcPr>
            <w:tcW w:w="9622" w:type="dxa"/>
            <w:gridSpan w:val="12"/>
          </w:tcPr>
          <w:p w:rsidR="00B1545C" w:rsidRPr="00967EC1" w:rsidRDefault="00B1545C" w:rsidP="00B15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Educational outcomes </w:t>
            </w:r>
          </w:p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Upon completion ofthe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course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and properly </w:t>
            </w:r>
            <w:r>
              <w:rPr>
                <w:rFonts w:cstheme="minorHAnsi"/>
                <w:sz w:val="18"/>
                <w:szCs w:val="18"/>
                <w:lang w:val="en-GB"/>
              </w:rPr>
              <w:t>acquired knowledge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, students will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be familiar with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the basic mechanisms that preserve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the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elements of sustainable animal health in order to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take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adequate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actions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and provide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continual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rural development.</w:t>
            </w:r>
          </w:p>
        </w:tc>
      </w:tr>
      <w:tr w:rsidR="00B1545C" w:rsidRPr="00967EC1" w:rsidTr="00280DBA">
        <w:tc>
          <w:tcPr>
            <w:tcW w:w="9622" w:type="dxa"/>
            <w:gridSpan w:val="12"/>
          </w:tcPr>
          <w:p w:rsidR="00B1545C" w:rsidRPr="00967EC1" w:rsidRDefault="00B1545C" w:rsidP="00B15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Course content</w:t>
            </w:r>
          </w:p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i/>
                <w:sz w:val="18"/>
                <w:szCs w:val="18"/>
                <w:lang w:val="en-GB"/>
              </w:rPr>
              <w:t>Theoretical instruction</w:t>
            </w:r>
          </w:p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iCs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Characteristics of modern breeding of domestic animals;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 xml:space="preserve">Breeding 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of wild species and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 xml:space="preserve">their 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importance in agritourism; Organic animal husbandry as the need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 xml:space="preserve">of 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>rural development and agr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i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tourism; Pathophysiology of animals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 xml:space="preserve">which are 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>important for rural development and agr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i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>tourism; Animal welfare and stress as factors of sustainable development of modern rural production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;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br/>
              <w:t xml:space="preserve">Protecting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a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nimal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w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elfare;  Preventive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v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eterinary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m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edicine in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 xml:space="preserve">the 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light of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r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ural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d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>evelopment; Contempo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rary approaches to diagnosis of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 health disorders and productivity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in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 animals; The impact of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 xml:space="preserve">lack 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of animal health and welfare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o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n rural economy;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The p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lace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 xml:space="preserve">of 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>veterinary profession in the concept of rural development</w:t>
            </w:r>
          </w:p>
        </w:tc>
      </w:tr>
      <w:tr w:rsidR="00B1545C" w:rsidRPr="00967EC1" w:rsidTr="00280DBA">
        <w:tc>
          <w:tcPr>
            <w:tcW w:w="9622" w:type="dxa"/>
            <w:gridSpan w:val="12"/>
            <w:tcBorders>
              <w:bottom w:val="single" w:sz="4" w:space="0" w:color="auto"/>
            </w:tcBorders>
          </w:tcPr>
          <w:p w:rsidR="00B1545C" w:rsidRPr="00967EC1" w:rsidRDefault="00B1545C" w:rsidP="00B15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Teaching methods</w:t>
            </w:r>
          </w:p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Lectures. S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eminar papers and interactive education. </w:t>
            </w:r>
            <w:r>
              <w:rPr>
                <w:rFonts w:cstheme="minorHAnsi"/>
                <w:sz w:val="18"/>
                <w:szCs w:val="18"/>
                <w:lang w:val="en-GB"/>
              </w:rPr>
              <w:t>Tutorials related to the lectures: presentations and c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ase studies, computer labs, farms, etc.</w:t>
            </w:r>
          </w:p>
        </w:tc>
      </w:tr>
      <w:tr w:rsidR="00B1545C" w:rsidRPr="00967EC1" w:rsidTr="00280DBA">
        <w:tc>
          <w:tcPr>
            <w:tcW w:w="9622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B1545C" w:rsidRPr="00967EC1" w:rsidTr="00280DBA">
        <w:trPr>
          <w:gridAfter w:val="3"/>
          <w:wAfter w:w="2268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Points</w:t>
            </w:r>
          </w:p>
        </w:tc>
      </w:tr>
      <w:tr w:rsidR="00B1545C" w:rsidRPr="00967EC1" w:rsidTr="00280DBA">
        <w:trPr>
          <w:gridAfter w:val="3"/>
          <w:wAfter w:w="2268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Homework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i/>
                <w:sz w:val="14"/>
                <w:szCs w:val="14"/>
                <w:lang w:val="en-GB"/>
              </w:rPr>
            </w:pPr>
            <w:r w:rsidRPr="00967EC1">
              <w:rPr>
                <w:rFonts w:cstheme="minorHAnsi"/>
                <w:i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50</w:t>
            </w:r>
          </w:p>
        </w:tc>
      </w:tr>
      <w:tr w:rsidR="00B1545C" w:rsidRPr="00967EC1" w:rsidTr="00280DBA">
        <w:trPr>
          <w:gridAfter w:val="3"/>
          <w:wAfter w:w="2268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Tutorial attendance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10</w:t>
            </w:r>
          </w:p>
        </w:tc>
        <w:tc>
          <w:tcPr>
            <w:tcW w:w="2426" w:type="dxa"/>
            <w:gridSpan w:val="4"/>
            <w:vMerge w:val="restart"/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1545C" w:rsidRPr="00967EC1" w:rsidTr="00280DBA">
        <w:trPr>
          <w:gridAfter w:val="3"/>
          <w:wAfter w:w="2268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Tests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20</w:t>
            </w:r>
          </w:p>
        </w:tc>
        <w:tc>
          <w:tcPr>
            <w:tcW w:w="2426" w:type="dxa"/>
            <w:gridSpan w:val="4"/>
            <w:vMerge/>
            <w:shd w:val="clear" w:color="auto" w:fill="auto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1545C" w:rsidRPr="00967EC1" w:rsidTr="00280DBA">
        <w:tc>
          <w:tcPr>
            <w:tcW w:w="9622" w:type="dxa"/>
            <w:gridSpan w:val="12"/>
            <w:shd w:val="clear" w:color="auto" w:fill="C2D69B" w:themeFill="accent3" w:themeFillTint="99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B1545C" w:rsidRPr="00967EC1" w:rsidTr="00280DBA">
        <w:tc>
          <w:tcPr>
            <w:tcW w:w="675" w:type="dxa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3686" w:type="dxa"/>
            <w:gridSpan w:val="4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2835" w:type="dxa"/>
            <w:gridSpan w:val="4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725" w:type="dxa"/>
            <w:vAlign w:val="center"/>
          </w:tcPr>
          <w:p w:rsidR="00B1545C" w:rsidRPr="00967EC1" w:rsidRDefault="00B1545C" w:rsidP="00B1545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Year</w:t>
            </w:r>
          </w:p>
        </w:tc>
      </w:tr>
      <w:tr w:rsidR="00B1545C" w:rsidRPr="00967EC1" w:rsidTr="00280DBA">
        <w:tc>
          <w:tcPr>
            <w:tcW w:w="675" w:type="dxa"/>
            <w:vAlign w:val="center"/>
          </w:tcPr>
          <w:p w:rsidR="00B1545C" w:rsidRPr="00967EC1" w:rsidRDefault="00B1545C" w:rsidP="00B154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HristovSlavča</w:t>
            </w:r>
          </w:p>
        </w:tc>
        <w:tc>
          <w:tcPr>
            <w:tcW w:w="3686" w:type="dxa"/>
            <w:gridSpan w:val="4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Zoohigijena</w:t>
            </w:r>
          </w:p>
        </w:tc>
        <w:tc>
          <w:tcPr>
            <w:tcW w:w="2835" w:type="dxa"/>
            <w:gridSpan w:val="4"/>
            <w:vAlign w:val="center"/>
          </w:tcPr>
          <w:p w:rsidR="00B1545C" w:rsidRPr="00967EC1" w:rsidRDefault="00B1545C" w:rsidP="00B1545C">
            <w:pPr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5" w:type="dxa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bCs/>
                <w:sz w:val="18"/>
                <w:szCs w:val="18"/>
                <w:lang w:val="en-GB"/>
              </w:rPr>
              <w:t>2002</w:t>
            </w:r>
          </w:p>
        </w:tc>
      </w:tr>
      <w:tr w:rsidR="00B1545C" w:rsidRPr="00967EC1" w:rsidTr="00280DBA">
        <w:trPr>
          <w:trHeight w:val="597"/>
        </w:trPr>
        <w:tc>
          <w:tcPr>
            <w:tcW w:w="675" w:type="dxa"/>
            <w:vAlign w:val="center"/>
          </w:tcPr>
          <w:p w:rsidR="00B1545C" w:rsidRPr="00967EC1" w:rsidRDefault="00B1545C" w:rsidP="00B154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967EC1">
              <w:rPr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>ejanovićR</w:t>
            </w:r>
            <w:r w:rsidRPr="00967EC1">
              <w:rPr>
                <w:sz w:val="18"/>
                <w:szCs w:val="18"/>
                <w:lang w:val="en-GB"/>
              </w:rPr>
              <w:t xml:space="preserve">., </w:t>
            </w:r>
            <w:r>
              <w:rPr>
                <w:sz w:val="18"/>
                <w:szCs w:val="18"/>
                <w:lang w:val="en-GB"/>
              </w:rPr>
              <w:t>Njegovan Z</w:t>
            </w:r>
            <w:r w:rsidRPr="00967EC1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3686" w:type="dxa"/>
            <w:gridSpan w:val="4"/>
            <w:vAlign w:val="center"/>
          </w:tcPr>
          <w:p w:rsidR="00B1545C" w:rsidRPr="008D358F" w:rsidRDefault="00B1545C" w:rsidP="00B1545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RuralnirazvojilokalniekonomskirazvojAPVojvodine</w:t>
            </w:r>
            <w:r w:rsidRPr="00967EC1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835" w:type="dxa"/>
            <w:gridSpan w:val="4"/>
            <w:vAlign w:val="center"/>
          </w:tcPr>
          <w:p w:rsidR="00B1545C" w:rsidRPr="00967EC1" w:rsidRDefault="00B1545C" w:rsidP="00B1545C">
            <w:pPr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5" w:type="dxa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2011</w:t>
            </w:r>
          </w:p>
        </w:tc>
      </w:tr>
      <w:tr w:rsidR="00B1545C" w:rsidRPr="00967EC1" w:rsidTr="00280DBA">
        <w:trPr>
          <w:trHeight w:val="681"/>
        </w:trPr>
        <w:tc>
          <w:tcPr>
            <w:tcW w:w="675" w:type="dxa"/>
            <w:vAlign w:val="center"/>
          </w:tcPr>
          <w:p w:rsidR="00B1545C" w:rsidRPr="00967EC1" w:rsidRDefault="00B1545C" w:rsidP="00B154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67EC1">
              <w:rPr>
                <w:sz w:val="18"/>
                <w:szCs w:val="18"/>
                <w:lang w:val="en-GB"/>
              </w:rPr>
              <w:t>Svabe J.</w:t>
            </w:r>
          </w:p>
        </w:tc>
        <w:tc>
          <w:tcPr>
            <w:tcW w:w="3686" w:type="dxa"/>
            <w:gridSpan w:val="4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67EC1">
              <w:rPr>
                <w:sz w:val="18"/>
                <w:szCs w:val="18"/>
                <w:lang w:val="en-GB"/>
              </w:rPr>
              <w:t>Animals, disease, and human society: human-animal relations and the rise of veterinary medicine</w:t>
            </w:r>
          </w:p>
        </w:tc>
        <w:tc>
          <w:tcPr>
            <w:tcW w:w="2835" w:type="dxa"/>
            <w:gridSpan w:val="4"/>
            <w:vAlign w:val="center"/>
          </w:tcPr>
          <w:p w:rsidR="00B1545C" w:rsidRPr="00967EC1" w:rsidRDefault="00B1545C" w:rsidP="00B1545C">
            <w:pPr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  <w:r w:rsidRPr="00967EC1">
              <w:rPr>
                <w:sz w:val="18"/>
                <w:szCs w:val="18"/>
                <w:lang w:val="en-GB"/>
              </w:rPr>
              <w:t>Taylor and Francis</w:t>
            </w:r>
          </w:p>
        </w:tc>
        <w:tc>
          <w:tcPr>
            <w:tcW w:w="725" w:type="dxa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sz w:val="18"/>
                <w:szCs w:val="18"/>
                <w:lang w:val="en-GB"/>
              </w:rPr>
              <w:t>2005</w:t>
            </w:r>
          </w:p>
        </w:tc>
      </w:tr>
      <w:tr w:rsidR="00B1545C" w:rsidRPr="00967EC1" w:rsidTr="00280DBA">
        <w:trPr>
          <w:trHeight w:val="780"/>
        </w:trPr>
        <w:tc>
          <w:tcPr>
            <w:tcW w:w="675" w:type="dxa"/>
            <w:vAlign w:val="center"/>
          </w:tcPr>
          <w:p w:rsidR="00B1545C" w:rsidRPr="00967EC1" w:rsidRDefault="00B1545C" w:rsidP="00B154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67EC1">
              <w:rPr>
                <w:sz w:val="18"/>
                <w:szCs w:val="18"/>
                <w:lang w:val="en-GB"/>
              </w:rPr>
              <w:t>Vaarst  M.</w:t>
            </w:r>
          </w:p>
        </w:tc>
        <w:tc>
          <w:tcPr>
            <w:tcW w:w="3686" w:type="dxa"/>
            <w:gridSpan w:val="4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67EC1">
              <w:rPr>
                <w:sz w:val="18"/>
                <w:szCs w:val="18"/>
                <w:lang w:val="en-GB"/>
              </w:rPr>
              <w:t>Animal health and welfare in organic agriculture</w:t>
            </w:r>
          </w:p>
        </w:tc>
        <w:tc>
          <w:tcPr>
            <w:tcW w:w="2835" w:type="dxa"/>
            <w:gridSpan w:val="4"/>
            <w:vAlign w:val="center"/>
          </w:tcPr>
          <w:p w:rsidR="00B1545C" w:rsidRPr="00967EC1" w:rsidRDefault="00B1545C" w:rsidP="00B1545C">
            <w:pPr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  <w:r w:rsidRPr="00967EC1">
              <w:rPr>
                <w:sz w:val="18"/>
                <w:szCs w:val="18"/>
                <w:lang w:val="en-GB"/>
              </w:rPr>
              <w:t>CABI</w:t>
            </w:r>
          </w:p>
        </w:tc>
        <w:tc>
          <w:tcPr>
            <w:tcW w:w="725" w:type="dxa"/>
            <w:vAlign w:val="center"/>
          </w:tcPr>
          <w:p w:rsidR="00B1545C" w:rsidRPr="00967EC1" w:rsidRDefault="00B1545C" w:rsidP="00B1545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sz w:val="18"/>
                <w:szCs w:val="18"/>
                <w:lang w:val="en-GB"/>
              </w:rPr>
              <w:t>2004</w:t>
            </w:r>
          </w:p>
        </w:tc>
      </w:tr>
    </w:tbl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0D" w:rsidRDefault="00EC6E0D" w:rsidP="00121F00">
      <w:pPr>
        <w:spacing w:after="0"/>
      </w:pPr>
      <w:r>
        <w:separator/>
      </w:r>
    </w:p>
  </w:endnote>
  <w:endnote w:type="continuationSeparator" w:id="1">
    <w:p w:rsidR="00EC6E0D" w:rsidRDefault="00EC6E0D" w:rsidP="00121F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0D" w:rsidRDefault="00EC6E0D" w:rsidP="00121F00">
      <w:pPr>
        <w:spacing w:after="0"/>
      </w:pPr>
      <w:r>
        <w:separator/>
      </w:r>
    </w:p>
  </w:footnote>
  <w:footnote w:type="continuationSeparator" w:id="1">
    <w:p w:rsidR="00EC6E0D" w:rsidRDefault="00EC6E0D" w:rsidP="00121F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121F00" w:rsidRPr="00121F00" w:rsidTr="003E5744">
      <w:trPr>
        <w:trHeight w:val="694"/>
      </w:trPr>
      <w:tc>
        <w:tcPr>
          <w:tcW w:w="1818" w:type="dxa"/>
          <w:vMerge w:val="restart"/>
          <w:vAlign w:val="center"/>
        </w:tcPr>
        <w:p w:rsidR="00121F00" w:rsidRPr="00121F00" w:rsidRDefault="00121F00" w:rsidP="00B1545C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121F00" w:rsidRPr="00121F00" w:rsidRDefault="00121F00" w:rsidP="00B1545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121F00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121F00" w:rsidRPr="00121F00" w:rsidRDefault="00121F00" w:rsidP="00B1545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21F00" w:rsidRPr="00121F00" w:rsidRDefault="00121F00" w:rsidP="00B1545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121F00" w:rsidRPr="00121F00" w:rsidRDefault="00121F00" w:rsidP="00B1545C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1F00" w:rsidRPr="00121F00" w:rsidTr="003E5744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121F00" w:rsidRPr="00121F00" w:rsidRDefault="00121F00" w:rsidP="00B1545C">
          <w:pPr>
            <w:spacing w:after="0" w:line="240" w:lineRule="auto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121F00" w:rsidRPr="00121F00" w:rsidRDefault="00121F00" w:rsidP="00B1545C">
          <w:pPr>
            <w:spacing w:after="0"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121F00">
            <w:rPr>
              <w:rFonts w:ascii="Arial" w:hAnsi="Arial" w:cs="Arial"/>
              <w:sz w:val="28"/>
              <w:szCs w:val="28"/>
            </w:rPr>
            <w:t>Study Programme Accreditation</w:t>
          </w:r>
        </w:p>
        <w:p w:rsidR="00121F00" w:rsidRPr="00121F00" w:rsidRDefault="00121F00" w:rsidP="00B1545C">
          <w:pPr>
            <w:spacing w:after="0" w:line="240" w:lineRule="auto"/>
            <w:jc w:val="center"/>
          </w:pPr>
        </w:p>
        <w:p w:rsidR="00121F00" w:rsidRPr="00121F00" w:rsidRDefault="00121F00" w:rsidP="00B1545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 xml:space="preserve">MASTER ACADEMIC STUDIES </w:t>
          </w:r>
        </w:p>
        <w:p w:rsidR="00121F00" w:rsidRPr="00121F00" w:rsidRDefault="00121F00" w:rsidP="00B1545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RURAL DEVELOPMENT AND AGRITOURISM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121F00" w:rsidRPr="00121F00" w:rsidRDefault="00121F00" w:rsidP="00B1545C">
          <w:pPr>
            <w:spacing w:after="0" w:line="240" w:lineRule="auto"/>
          </w:pPr>
        </w:p>
      </w:tc>
    </w:tr>
    <w:tr w:rsidR="00121F00" w:rsidRPr="00121F00" w:rsidTr="003E5744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121F00" w:rsidRPr="00121F00" w:rsidRDefault="00121F00" w:rsidP="00B1545C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121F00" w:rsidRDefault="00121F00" w:rsidP="00121F00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39DF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448C0"/>
    <w:multiLevelType w:val="hybridMultilevel"/>
    <w:tmpl w:val="F5102C96"/>
    <w:lvl w:ilvl="0" w:tplc="13888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00"/>
    <w:rsid w:val="00005936"/>
    <w:rsid w:val="00031247"/>
    <w:rsid w:val="00121F00"/>
    <w:rsid w:val="00474BCC"/>
    <w:rsid w:val="007E7597"/>
    <w:rsid w:val="00884F99"/>
    <w:rsid w:val="00B1545C"/>
    <w:rsid w:val="00C25483"/>
    <w:rsid w:val="00D65D93"/>
    <w:rsid w:val="00D7497A"/>
    <w:rsid w:val="00EC6E0D"/>
    <w:rsid w:val="00FA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5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F00"/>
  </w:style>
  <w:style w:type="paragraph" w:styleId="Footer">
    <w:name w:val="footer"/>
    <w:basedOn w:val="Normal"/>
    <w:link w:val="Foot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F00"/>
  </w:style>
  <w:style w:type="table" w:styleId="TableGrid">
    <w:name w:val="Table Grid"/>
    <w:basedOn w:val="TableNormal"/>
    <w:uiPriority w:val="59"/>
    <w:rsid w:val="00121F00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F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2015-01-21T18:09:00Z</dcterms:created>
  <dcterms:modified xsi:type="dcterms:W3CDTF">2015-01-22T14:28:00Z</dcterms:modified>
</cp:coreProperties>
</file>