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5517AF" w:rsidRPr="005517AF" w:rsidTr="003E5744">
        <w:trPr>
          <w:trHeight w:val="420"/>
        </w:trPr>
        <w:tc>
          <w:tcPr>
            <w:tcW w:w="2092" w:type="dxa"/>
            <w:gridSpan w:val="2"/>
            <w:shd w:val="clear" w:color="auto" w:fill="C2D69B" w:themeFill="accent3" w:themeFillTint="99"/>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Course:</w:t>
            </w:r>
          </w:p>
        </w:tc>
        <w:tc>
          <w:tcPr>
            <w:tcW w:w="7530" w:type="dxa"/>
            <w:gridSpan w:val="9"/>
            <w:vMerge w:val="restart"/>
            <w:vAlign w:val="center"/>
          </w:tcPr>
          <w:p w:rsidR="005517AF" w:rsidRPr="005517AF" w:rsidRDefault="005517AF" w:rsidP="005517AF">
            <w:pPr>
              <w:spacing w:after="0" w:line="240" w:lineRule="auto"/>
              <w:jc w:val="center"/>
              <w:rPr>
                <w:rFonts w:ascii="Arial" w:hAnsi="Arial" w:cs="Arial"/>
                <w:i/>
                <w:sz w:val="18"/>
                <w:szCs w:val="18"/>
                <w:lang w:val="en-GB"/>
              </w:rPr>
            </w:pPr>
            <w:r w:rsidRPr="005517AF">
              <w:rPr>
                <w:rFonts w:ascii="Arial" w:hAnsi="Arial" w:cs="Arial"/>
                <w:i/>
                <w:sz w:val="18"/>
                <w:szCs w:val="18"/>
                <w:lang w:val="en-GB"/>
              </w:rPr>
              <w:t>Agricultural Extension</w:t>
            </w:r>
          </w:p>
        </w:tc>
      </w:tr>
      <w:tr w:rsidR="005517AF" w:rsidRPr="005517AF" w:rsidTr="003E5744">
        <w:tc>
          <w:tcPr>
            <w:tcW w:w="2092" w:type="dxa"/>
            <w:gridSpan w:val="2"/>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Course id:</w:t>
            </w:r>
            <w:r w:rsidRPr="005517AF">
              <w:rPr>
                <w:rFonts w:ascii="Arial" w:hAnsi="Arial" w:cs="Arial"/>
                <w:sz w:val="16"/>
                <w:szCs w:val="16"/>
                <w:lang w:val="ru-RU"/>
              </w:rPr>
              <w:t>3ОАЕ7</w:t>
            </w:r>
            <w:r w:rsidRPr="005517AF">
              <w:rPr>
                <w:rFonts w:ascii="Arial" w:hAnsi="Arial" w:cs="Arial"/>
                <w:sz w:val="16"/>
                <w:szCs w:val="16"/>
              </w:rPr>
              <w:t>I</w:t>
            </w:r>
            <w:r w:rsidRPr="005517AF">
              <w:rPr>
                <w:rFonts w:ascii="Arial" w:hAnsi="Arial" w:cs="Arial"/>
                <w:sz w:val="16"/>
                <w:szCs w:val="16"/>
                <w:lang w:val="ru-RU"/>
              </w:rPr>
              <w:t>49</w:t>
            </w:r>
          </w:p>
        </w:tc>
        <w:tc>
          <w:tcPr>
            <w:tcW w:w="7530" w:type="dxa"/>
            <w:gridSpan w:val="9"/>
            <w:vMerge/>
          </w:tcPr>
          <w:p w:rsidR="005517AF" w:rsidRPr="005517AF" w:rsidRDefault="005517AF" w:rsidP="005517AF">
            <w:pPr>
              <w:spacing w:after="0" w:line="240" w:lineRule="auto"/>
              <w:rPr>
                <w:lang w:val="en-GB"/>
              </w:rPr>
            </w:pPr>
          </w:p>
        </w:tc>
      </w:tr>
      <w:tr w:rsidR="005517AF" w:rsidRPr="005517AF" w:rsidTr="003E5744">
        <w:tc>
          <w:tcPr>
            <w:tcW w:w="2092" w:type="dxa"/>
            <w:gridSpan w:val="2"/>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Number of ECTS:6</w:t>
            </w:r>
          </w:p>
        </w:tc>
        <w:tc>
          <w:tcPr>
            <w:tcW w:w="7530" w:type="dxa"/>
            <w:gridSpan w:val="9"/>
            <w:vMerge/>
          </w:tcPr>
          <w:p w:rsidR="005517AF" w:rsidRPr="005517AF" w:rsidRDefault="005517AF" w:rsidP="005517AF">
            <w:pPr>
              <w:spacing w:after="0" w:line="240" w:lineRule="auto"/>
              <w:rPr>
                <w:lang w:val="en-GB"/>
              </w:rPr>
            </w:pPr>
          </w:p>
        </w:tc>
      </w:tr>
      <w:tr w:rsidR="005517AF" w:rsidRPr="005517AF" w:rsidTr="003E5744">
        <w:tc>
          <w:tcPr>
            <w:tcW w:w="2092" w:type="dxa"/>
            <w:gridSpan w:val="2"/>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Teacher:</w:t>
            </w:r>
          </w:p>
        </w:tc>
        <w:tc>
          <w:tcPr>
            <w:tcW w:w="7530" w:type="dxa"/>
            <w:gridSpan w:val="9"/>
          </w:tcPr>
          <w:p w:rsidR="005517AF" w:rsidRPr="005517AF" w:rsidRDefault="006A0BBB" w:rsidP="005517AF">
            <w:pPr>
              <w:spacing w:after="0" w:line="240" w:lineRule="auto"/>
            </w:pPr>
            <w:r>
              <w:t xml:space="preserve">Ph.D. </w:t>
            </w:r>
            <w:r w:rsidR="005517AF" w:rsidRPr="005517AF">
              <w:t>Dejan R. Janković</w:t>
            </w:r>
            <w:r>
              <w:t xml:space="preserve"> Assistant Professor, Marica Petrović, Marina Novakov </w:t>
            </w:r>
          </w:p>
        </w:tc>
      </w:tr>
      <w:tr w:rsidR="005517AF" w:rsidRPr="005517AF" w:rsidTr="003E5744">
        <w:tc>
          <w:tcPr>
            <w:tcW w:w="2092" w:type="dxa"/>
            <w:gridSpan w:val="2"/>
            <w:tcBorders>
              <w:bottom w:val="single" w:sz="4" w:space="0" w:color="auto"/>
            </w:tcBorders>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Course status</w:t>
            </w:r>
          </w:p>
        </w:tc>
        <w:tc>
          <w:tcPr>
            <w:tcW w:w="7530" w:type="dxa"/>
            <w:gridSpan w:val="9"/>
            <w:tcBorders>
              <w:bottom w:val="single" w:sz="4" w:space="0" w:color="auto"/>
            </w:tcBorders>
          </w:tcPr>
          <w:p w:rsidR="005517AF" w:rsidRPr="005517AF" w:rsidRDefault="005517AF" w:rsidP="005517AF">
            <w:pPr>
              <w:spacing w:after="0" w:line="240" w:lineRule="auto"/>
              <w:rPr>
                <w:lang w:val="en-GB"/>
              </w:rPr>
            </w:pPr>
            <w:r w:rsidRPr="005517AF">
              <w:rPr>
                <w:sz w:val="18"/>
                <w:szCs w:val="18"/>
                <w:lang w:val="en-GB"/>
              </w:rPr>
              <w:t>Elective</w:t>
            </w:r>
          </w:p>
        </w:tc>
      </w:tr>
      <w:tr w:rsidR="005517AF" w:rsidRPr="005517AF" w:rsidTr="003E5744">
        <w:trPr>
          <w:trHeight w:val="227"/>
        </w:trPr>
        <w:tc>
          <w:tcPr>
            <w:tcW w:w="9622" w:type="dxa"/>
            <w:gridSpan w:val="11"/>
            <w:tcBorders>
              <w:bottom w:val="single" w:sz="4" w:space="0" w:color="auto"/>
            </w:tcBorders>
            <w:shd w:val="clear" w:color="auto" w:fill="C2D69B" w:themeFill="accent3" w:themeFillTint="99"/>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Number of active teaching classes (weekly)</w:t>
            </w:r>
          </w:p>
        </w:tc>
      </w:tr>
      <w:tr w:rsidR="005517AF" w:rsidRPr="005517AF" w:rsidTr="003E5744">
        <w:trPr>
          <w:trHeight w:val="227"/>
        </w:trPr>
        <w:tc>
          <w:tcPr>
            <w:tcW w:w="2092" w:type="dxa"/>
            <w:gridSpan w:val="2"/>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Other classes:</w:t>
            </w:r>
          </w:p>
        </w:tc>
      </w:tr>
      <w:tr w:rsidR="005517AF" w:rsidRPr="005517AF" w:rsidTr="003E5744">
        <w:tc>
          <w:tcPr>
            <w:tcW w:w="2092" w:type="dxa"/>
            <w:gridSpan w:val="2"/>
            <w:shd w:val="clear" w:color="auto" w:fill="C2D69B" w:themeFill="accent3" w:themeFillTint="99"/>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None</w:t>
            </w:r>
          </w:p>
        </w:tc>
      </w:tr>
      <w:tr w:rsidR="005517AF" w:rsidRPr="005517AF" w:rsidTr="003E5744">
        <w:tc>
          <w:tcPr>
            <w:tcW w:w="9622" w:type="dxa"/>
            <w:gridSpan w:val="11"/>
          </w:tcPr>
          <w:p w:rsidR="005517AF" w:rsidRPr="005517AF" w:rsidRDefault="005517AF" w:rsidP="005517AF">
            <w:pPr>
              <w:numPr>
                <w:ilvl w:val="0"/>
                <w:numId w:val="3"/>
              </w:numPr>
              <w:spacing w:after="0" w:line="240" w:lineRule="auto"/>
              <w:contextualSpacing/>
              <w:rPr>
                <w:rFonts w:ascii="Arial" w:hAnsi="Arial" w:cs="Arial"/>
                <w:sz w:val="16"/>
                <w:szCs w:val="16"/>
                <w:lang w:val="en-GB"/>
              </w:rPr>
            </w:pPr>
            <w:r w:rsidRPr="005517AF">
              <w:rPr>
                <w:rFonts w:ascii="Arial" w:hAnsi="Arial" w:cs="Arial"/>
                <w:sz w:val="16"/>
                <w:szCs w:val="16"/>
                <w:lang w:val="en-GB"/>
              </w:rPr>
              <w:t>Educational goal</w:t>
            </w:r>
          </w:p>
          <w:p w:rsidR="005517AF" w:rsidRPr="005517AF" w:rsidRDefault="005517AF" w:rsidP="005517AF">
            <w:pPr>
              <w:spacing w:after="0" w:line="240" w:lineRule="auto"/>
              <w:rPr>
                <w:rFonts w:ascii="Arial" w:hAnsi="Arial" w:cs="Arial"/>
                <w:sz w:val="16"/>
                <w:szCs w:val="16"/>
              </w:rPr>
            </w:pPr>
            <w:r w:rsidRPr="005517AF">
              <w:rPr>
                <w:rFonts w:ascii="Arial" w:hAnsi="Arial" w:cs="Arial"/>
                <w:sz w:val="16"/>
                <w:szCs w:val="16"/>
                <w:lang w:val="en-GB"/>
              </w:rPr>
              <w:t xml:space="preserve">Introducing students to the basics of agricultural extension as an institution and a consulting process, the interdisciplinary </w:t>
            </w:r>
            <w:r w:rsidRPr="005517AF">
              <w:rPr>
                <w:rFonts w:ascii="Arial" w:hAnsi="Arial" w:cs="Arial"/>
                <w:sz w:val="16"/>
                <w:szCs w:val="16"/>
              </w:rPr>
              <w:t xml:space="preserve">approach of extension science, and basic organizational issues in </w:t>
            </w:r>
            <w:r w:rsidRPr="005517AF">
              <w:rPr>
                <w:rFonts w:ascii="Arial" w:hAnsi="Arial" w:cs="Arial"/>
                <w:sz w:val="16"/>
                <w:szCs w:val="16"/>
                <w:lang w:val="en-GB"/>
              </w:rPr>
              <w:t xml:space="preserve">agricultural extension. The aim is to introduce students to the basics of different concepts and approaches in organization, financing and performance of agricultural extension, as well as with theoretical references used to perceive these processes. </w:t>
            </w:r>
          </w:p>
        </w:tc>
      </w:tr>
      <w:tr w:rsidR="005517AF" w:rsidRPr="005517AF" w:rsidTr="003E5744">
        <w:tc>
          <w:tcPr>
            <w:tcW w:w="9622" w:type="dxa"/>
            <w:gridSpan w:val="11"/>
          </w:tcPr>
          <w:p w:rsidR="005517AF" w:rsidRPr="005517AF" w:rsidRDefault="005517AF" w:rsidP="005517AF">
            <w:pPr>
              <w:numPr>
                <w:ilvl w:val="0"/>
                <w:numId w:val="3"/>
              </w:numPr>
              <w:spacing w:after="0" w:line="240" w:lineRule="auto"/>
              <w:ind w:left="284" w:hanging="284"/>
              <w:contextualSpacing/>
              <w:rPr>
                <w:rFonts w:ascii="Arial" w:hAnsi="Arial" w:cs="Arial"/>
                <w:sz w:val="16"/>
                <w:szCs w:val="16"/>
                <w:lang w:val="en-GB"/>
              </w:rPr>
            </w:pPr>
            <w:r w:rsidRPr="005517AF">
              <w:rPr>
                <w:rFonts w:ascii="Arial" w:hAnsi="Arial" w:cs="Arial"/>
                <w:sz w:val="16"/>
                <w:szCs w:val="16"/>
                <w:lang w:val="en-GB"/>
              </w:rPr>
              <w:t>Educational outcomes</w:t>
            </w:r>
          </w:p>
          <w:p w:rsidR="005517AF" w:rsidRPr="005517AF" w:rsidRDefault="005517AF" w:rsidP="005517AF">
            <w:pPr>
              <w:spacing w:after="0" w:line="240" w:lineRule="auto"/>
              <w:rPr>
                <w:sz w:val="18"/>
                <w:szCs w:val="18"/>
                <w:lang w:val="en-GB"/>
              </w:rPr>
            </w:pPr>
            <w:r w:rsidRPr="005517AF">
              <w:rPr>
                <w:sz w:val="18"/>
                <w:szCs w:val="18"/>
                <w:lang w:val="en-GB"/>
              </w:rPr>
              <w:t>Upon the completion of the course, students are able to realize the complex and interdisciplinary nature of</w:t>
            </w:r>
            <w:r w:rsidRPr="005517AF">
              <w:rPr>
                <w:rFonts w:ascii="Arial" w:hAnsi="Arial" w:cs="Arial"/>
                <w:sz w:val="16"/>
                <w:szCs w:val="16"/>
                <w:lang w:val="en-GB"/>
              </w:rPr>
              <w:t xml:space="preserve"> agricultural extension. Students can distinguish between different specific features, advantages and disadvantages of different forms of agricultural extension organization and financing. In addition, students are introduced to basic methods of agricultural extension and demands of extension communication. They can also critically analyse agricultural extension process and factors influencing it.</w:t>
            </w:r>
          </w:p>
        </w:tc>
      </w:tr>
      <w:tr w:rsidR="005517AF" w:rsidRPr="005517AF" w:rsidTr="003E5744">
        <w:tc>
          <w:tcPr>
            <w:tcW w:w="9622" w:type="dxa"/>
            <w:gridSpan w:val="11"/>
          </w:tcPr>
          <w:p w:rsidR="005517AF" w:rsidRPr="005517AF" w:rsidRDefault="005517AF" w:rsidP="005517AF">
            <w:pPr>
              <w:numPr>
                <w:ilvl w:val="0"/>
                <w:numId w:val="3"/>
              </w:numPr>
              <w:spacing w:after="0" w:line="240" w:lineRule="auto"/>
              <w:ind w:left="284" w:hanging="284"/>
              <w:contextualSpacing/>
              <w:rPr>
                <w:rFonts w:ascii="Arial" w:hAnsi="Arial" w:cs="Arial"/>
                <w:sz w:val="16"/>
                <w:szCs w:val="16"/>
                <w:lang w:val="en-GB"/>
              </w:rPr>
            </w:pPr>
            <w:r w:rsidRPr="005517AF">
              <w:rPr>
                <w:rFonts w:ascii="Arial" w:hAnsi="Arial" w:cs="Arial"/>
                <w:sz w:val="16"/>
                <w:szCs w:val="16"/>
                <w:lang w:val="en-GB"/>
              </w:rPr>
              <w:t>Course content</w:t>
            </w:r>
          </w:p>
          <w:p w:rsidR="005517AF" w:rsidRPr="005517AF" w:rsidRDefault="005517AF" w:rsidP="005517AF">
            <w:pPr>
              <w:spacing w:after="0" w:line="240" w:lineRule="auto"/>
              <w:rPr>
                <w:rFonts w:ascii="Arial" w:hAnsi="Arial" w:cs="Arial"/>
                <w:sz w:val="16"/>
                <w:szCs w:val="16"/>
                <w:lang w:val="en-GB"/>
              </w:rPr>
            </w:pPr>
            <w:r w:rsidRPr="005517AF">
              <w:rPr>
                <w:i/>
                <w:sz w:val="18"/>
                <w:szCs w:val="18"/>
                <w:lang w:val="en-GB"/>
              </w:rPr>
              <w:t>Theoretical Instruction</w:t>
            </w:r>
            <w:r w:rsidRPr="005517AF">
              <w:rPr>
                <w:sz w:val="18"/>
                <w:szCs w:val="18"/>
                <w:lang w:val="en-GB"/>
              </w:rPr>
              <w:t xml:space="preserve"> Extension science: from multidisciplinary to interdisciplinary concept. Defining</w:t>
            </w:r>
            <w:r w:rsidRPr="005517AF">
              <w:rPr>
                <w:rFonts w:ascii="Arial" w:hAnsi="Arial" w:cs="Arial"/>
                <w:sz w:val="16"/>
                <w:szCs w:val="16"/>
                <w:lang w:val="en-GB"/>
              </w:rPr>
              <w:t xml:space="preserve"> agricultural extension. Aims and functions of agricultural extension. Agricultural extension as a developing factor in agriculture and rural areas. Extension and education, extension and research. The importance of innovations and the theory of diffusion and innovations. Agricultural extension in history. Different models of agricultural extension organization and financing. Extension system transformations. Agricultural extension experiences in different countries. Agricultural extension I Serbia. Institutions and participants in extension process. Specific features of extension communication. Features and competences of extension agents. Extension methods. Individual extension (communicational) methods. Group extension (communicational) methods. Massive (extension) communicational methods. </w:t>
            </w:r>
          </w:p>
          <w:p w:rsidR="005517AF" w:rsidRPr="005517AF" w:rsidRDefault="005517AF" w:rsidP="005517AF">
            <w:pPr>
              <w:spacing w:after="0" w:line="240" w:lineRule="auto"/>
              <w:rPr>
                <w:sz w:val="18"/>
                <w:szCs w:val="18"/>
                <w:lang w:val="en-GB"/>
              </w:rPr>
            </w:pPr>
            <w:r w:rsidRPr="005517AF">
              <w:rPr>
                <w:i/>
                <w:sz w:val="18"/>
                <w:szCs w:val="18"/>
                <w:lang w:val="en-GB"/>
              </w:rPr>
              <w:t>Practical Instruction</w:t>
            </w:r>
            <w:r w:rsidRPr="005517AF">
              <w:rPr>
                <w:sz w:val="18"/>
                <w:szCs w:val="18"/>
                <w:lang w:val="en-GB"/>
              </w:rPr>
              <w:t xml:space="preserve"> Seminar papers, group work and discussions, practical tutorials in communication methods, case studies, role-plays. </w:t>
            </w:r>
          </w:p>
        </w:tc>
      </w:tr>
      <w:tr w:rsidR="005517AF" w:rsidRPr="005517AF" w:rsidTr="003E5744">
        <w:tc>
          <w:tcPr>
            <w:tcW w:w="9622" w:type="dxa"/>
            <w:gridSpan w:val="11"/>
            <w:tcBorders>
              <w:bottom w:val="single" w:sz="4" w:space="0" w:color="auto"/>
            </w:tcBorders>
          </w:tcPr>
          <w:p w:rsidR="005517AF" w:rsidRPr="005517AF" w:rsidRDefault="005517AF" w:rsidP="005517AF">
            <w:pPr>
              <w:numPr>
                <w:ilvl w:val="0"/>
                <w:numId w:val="3"/>
              </w:numPr>
              <w:spacing w:after="0" w:line="240" w:lineRule="auto"/>
              <w:ind w:left="284" w:hanging="284"/>
              <w:contextualSpacing/>
              <w:rPr>
                <w:rFonts w:ascii="Arial" w:hAnsi="Arial" w:cs="Arial"/>
                <w:sz w:val="16"/>
                <w:szCs w:val="16"/>
                <w:lang w:val="en-GB"/>
              </w:rPr>
            </w:pPr>
            <w:r w:rsidRPr="005517AF">
              <w:rPr>
                <w:rFonts w:ascii="Arial" w:hAnsi="Arial" w:cs="Arial"/>
                <w:sz w:val="16"/>
                <w:szCs w:val="16"/>
                <w:lang w:val="en-GB"/>
              </w:rPr>
              <w:t>Teaching methods</w:t>
            </w:r>
          </w:p>
          <w:p w:rsidR="005517AF" w:rsidRPr="005517AF" w:rsidRDefault="005517AF" w:rsidP="005517AF">
            <w:pPr>
              <w:spacing w:after="0" w:line="240" w:lineRule="auto"/>
              <w:rPr>
                <w:sz w:val="18"/>
                <w:szCs w:val="18"/>
                <w:lang w:val="en-GB"/>
              </w:rPr>
            </w:pPr>
            <w:r w:rsidRPr="005517AF">
              <w:rPr>
                <w:rFonts w:ascii="Arial" w:hAnsi="Arial" w:cs="Arial"/>
                <w:sz w:val="16"/>
                <w:szCs w:val="16"/>
                <w:lang w:val="en-GB"/>
              </w:rPr>
              <w:t xml:space="preserve">Lectures, </w:t>
            </w:r>
            <w:r w:rsidRPr="005517AF">
              <w:rPr>
                <w:sz w:val="18"/>
                <w:szCs w:val="18"/>
                <w:lang w:val="en-GB"/>
              </w:rPr>
              <w:t>group work and discussions, seminar papers.</w:t>
            </w:r>
          </w:p>
        </w:tc>
      </w:tr>
      <w:tr w:rsidR="005517AF" w:rsidRPr="005517AF" w:rsidTr="003E5744">
        <w:tc>
          <w:tcPr>
            <w:tcW w:w="9622" w:type="dxa"/>
            <w:gridSpan w:val="11"/>
            <w:tcBorders>
              <w:bottom w:val="single" w:sz="4" w:space="0" w:color="auto"/>
            </w:tcBorders>
            <w:shd w:val="clear" w:color="auto" w:fill="C2D69B" w:themeFill="accent3" w:themeFillTint="99"/>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Knowledge evaluation (maximum 100 points)</w:t>
            </w:r>
          </w:p>
        </w:tc>
      </w:tr>
      <w:tr w:rsidR="005517AF" w:rsidRPr="005517AF" w:rsidTr="003E5744">
        <w:tc>
          <w:tcPr>
            <w:tcW w:w="2376" w:type="dxa"/>
            <w:gridSpan w:val="3"/>
            <w:shd w:val="clear" w:color="auto" w:fill="auto"/>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Pre-examination obligations</w:t>
            </w:r>
          </w:p>
        </w:tc>
        <w:tc>
          <w:tcPr>
            <w:tcW w:w="1134" w:type="dxa"/>
            <w:shd w:val="clear" w:color="auto" w:fill="auto"/>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Mandatory</w:t>
            </w:r>
          </w:p>
        </w:tc>
        <w:tc>
          <w:tcPr>
            <w:tcW w:w="1301"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Points</w:t>
            </w:r>
          </w:p>
        </w:tc>
        <w:tc>
          <w:tcPr>
            <w:tcW w:w="2527"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 xml:space="preserve">Final exam </w:t>
            </w:r>
          </w:p>
        </w:tc>
        <w:tc>
          <w:tcPr>
            <w:tcW w:w="1134"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Mandatory</w:t>
            </w:r>
          </w:p>
        </w:tc>
        <w:tc>
          <w:tcPr>
            <w:tcW w:w="1150" w:type="dxa"/>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Points</w:t>
            </w:r>
          </w:p>
        </w:tc>
      </w:tr>
      <w:tr w:rsidR="005517AF" w:rsidRPr="005517AF" w:rsidTr="003E5744">
        <w:tc>
          <w:tcPr>
            <w:tcW w:w="2376" w:type="dxa"/>
            <w:gridSpan w:val="3"/>
            <w:shd w:val="clear" w:color="auto" w:fill="auto"/>
            <w:vAlign w:val="center"/>
          </w:tcPr>
          <w:p w:rsidR="005517AF" w:rsidRPr="005517AF" w:rsidRDefault="005517AF" w:rsidP="005517AF">
            <w:pPr>
              <w:spacing w:after="0" w:line="240" w:lineRule="auto"/>
              <w:rPr>
                <w:sz w:val="18"/>
                <w:szCs w:val="18"/>
                <w:lang w:val="en-GB"/>
              </w:rPr>
            </w:pPr>
            <w:r w:rsidRPr="005517AF">
              <w:rPr>
                <w:sz w:val="18"/>
                <w:szCs w:val="18"/>
                <w:lang w:val="en-GB"/>
              </w:rPr>
              <w:t>Lecture attendance</w:t>
            </w:r>
          </w:p>
        </w:tc>
        <w:tc>
          <w:tcPr>
            <w:tcW w:w="1134" w:type="dxa"/>
            <w:shd w:val="clear" w:color="auto" w:fill="auto"/>
            <w:vAlign w:val="center"/>
          </w:tcPr>
          <w:p w:rsidR="005517AF" w:rsidRPr="005517AF" w:rsidRDefault="005517AF" w:rsidP="005517AF">
            <w:pPr>
              <w:spacing w:after="0" w:line="240" w:lineRule="auto"/>
              <w:jc w:val="center"/>
              <w:rPr>
                <w:lang w:val="en-GB"/>
              </w:rPr>
            </w:pPr>
            <w:r w:rsidRPr="005517AF">
              <w:rPr>
                <w:rFonts w:ascii="Arial" w:hAnsi="Arial" w:cs="Arial"/>
                <w:sz w:val="16"/>
                <w:szCs w:val="16"/>
                <w:lang w:val="en-GB"/>
              </w:rPr>
              <w:t>Yes/No</w:t>
            </w:r>
          </w:p>
        </w:tc>
        <w:tc>
          <w:tcPr>
            <w:tcW w:w="1301"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10</w:t>
            </w:r>
          </w:p>
        </w:tc>
        <w:tc>
          <w:tcPr>
            <w:tcW w:w="2527" w:type="dxa"/>
            <w:gridSpan w:val="2"/>
            <w:shd w:val="clear" w:color="auto" w:fill="auto"/>
            <w:vAlign w:val="center"/>
          </w:tcPr>
          <w:p w:rsidR="005517AF" w:rsidRPr="005517AF" w:rsidRDefault="005517AF" w:rsidP="005517AF">
            <w:pPr>
              <w:spacing w:after="0" w:line="240" w:lineRule="auto"/>
              <w:jc w:val="center"/>
              <w:rPr>
                <w:rFonts w:ascii="Arial" w:hAnsi="Arial" w:cs="Arial"/>
                <w:i/>
                <w:sz w:val="14"/>
                <w:szCs w:val="14"/>
                <w:lang w:val="en-GB"/>
              </w:rPr>
            </w:pPr>
            <w:r w:rsidRPr="005517AF">
              <w:rPr>
                <w:rFonts w:ascii="Arial" w:hAnsi="Arial" w:cs="Arial"/>
                <w:i/>
                <w:sz w:val="14"/>
                <w:szCs w:val="14"/>
                <w:lang w:val="en-GB"/>
              </w:rPr>
              <w:t xml:space="preserve">Oral Exam </w:t>
            </w:r>
          </w:p>
        </w:tc>
        <w:tc>
          <w:tcPr>
            <w:tcW w:w="1134"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Yes</w:t>
            </w:r>
          </w:p>
        </w:tc>
        <w:tc>
          <w:tcPr>
            <w:tcW w:w="1150" w:type="dxa"/>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30</w:t>
            </w:r>
          </w:p>
        </w:tc>
      </w:tr>
      <w:tr w:rsidR="005517AF" w:rsidRPr="005517AF" w:rsidTr="003E5744">
        <w:tc>
          <w:tcPr>
            <w:tcW w:w="2376" w:type="dxa"/>
            <w:gridSpan w:val="3"/>
            <w:shd w:val="clear" w:color="auto" w:fill="auto"/>
            <w:vAlign w:val="center"/>
          </w:tcPr>
          <w:p w:rsidR="005517AF" w:rsidRPr="005517AF" w:rsidRDefault="005517AF" w:rsidP="005517AF">
            <w:pPr>
              <w:spacing w:after="0" w:line="240" w:lineRule="auto"/>
              <w:rPr>
                <w:sz w:val="18"/>
                <w:szCs w:val="18"/>
                <w:lang w:val="en-GB"/>
              </w:rPr>
            </w:pPr>
            <w:r w:rsidRPr="005517AF">
              <w:rPr>
                <w:sz w:val="18"/>
                <w:szCs w:val="18"/>
                <w:lang w:val="en-GB"/>
              </w:rPr>
              <w:t>In-class activity</w:t>
            </w:r>
          </w:p>
        </w:tc>
        <w:tc>
          <w:tcPr>
            <w:tcW w:w="1134" w:type="dxa"/>
            <w:shd w:val="clear" w:color="auto" w:fill="auto"/>
            <w:vAlign w:val="center"/>
          </w:tcPr>
          <w:p w:rsidR="005517AF" w:rsidRPr="005517AF" w:rsidRDefault="005517AF" w:rsidP="005517AF">
            <w:pPr>
              <w:spacing w:after="0" w:line="240" w:lineRule="auto"/>
              <w:jc w:val="center"/>
              <w:rPr>
                <w:lang w:val="en-GB"/>
              </w:rPr>
            </w:pPr>
            <w:r w:rsidRPr="005517AF">
              <w:rPr>
                <w:rFonts w:ascii="Arial" w:hAnsi="Arial" w:cs="Arial"/>
                <w:sz w:val="16"/>
                <w:szCs w:val="16"/>
                <w:lang w:val="en-GB"/>
              </w:rPr>
              <w:t>Yes/No</w:t>
            </w:r>
          </w:p>
        </w:tc>
        <w:tc>
          <w:tcPr>
            <w:tcW w:w="1301"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20</w:t>
            </w:r>
          </w:p>
        </w:tc>
        <w:tc>
          <w:tcPr>
            <w:tcW w:w="4811" w:type="dxa"/>
            <w:gridSpan w:val="5"/>
            <w:vMerge w:val="restart"/>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p>
        </w:tc>
      </w:tr>
      <w:tr w:rsidR="005517AF" w:rsidRPr="005517AF" w:rsidTr="003E5744">
        <w:tc>
          <w:tcPr>
            <w:tcW w:w="2376" w:type="dxa"/>
            <w:gridSpan w:val="3"/>
            <w:shd w:val="clear" w:color="auto" w:fill="auto"/>
            <w:vAlign w:val="center"/>
          </w:tcPr>
          <w:p w:rsidR="005517AF" w:rsidRPr="005517AF" w:rsidRDefault="005517AF" w:rsidP="005517AF">
            <w:pPr>
              <w:spacing w:after="0" w:line="240" w:lineRule="auto"/>
              <w:rPr>
                <w:sz w:val="18"/>
                <w:szCs w:val="18"/>
                <w:lang w:val="en-GB"/>
              </w:rPr>
            </w:pPr>
            <w:r w:rsidRPr="005517AF">
              <w:rPr>
                <w:sz w:val="18"/>
                <w:szCs w:val="18"/>
                <w:lang w:val="en-GB"/>
              </w:rPr>
              <w:t>Tutorials attendance</w:t>
            </w:r>
          </w:p>
        </w:tc>
        <w:tc>
          <w:tcPr>
            <w:tcW w:w="1134" w:type="dxa"/>
            <w:shd w:val="clear" w:color="auto" w:fill="auto"/>
            <w:vAlign w:val="center"/>
          </w:tcPr>
          <w:p w:rsidR="005517AF" w:rsidRPr="005517AF" w:rsidRDefault="005517AF" w:rsidP="005517AF">
            <w:pPr>
              <w:spacing w:after="0" w:line="240" w:lineRule="auto"/>
              <w:jc w:val="center"/>
              <w:rPr>
                <w:lang w:val="en-GB"/>
              </w:rPr>
            </w:pPr>
            <w:r w:rsidRPr="005517AF">
              <w:rPr>
                <w:rFonts w:ascii="Arial" w:hAnsi="Arial" w:cs="Arial"/>
                <w:sz w:val="16"/>
                <w:szCs w:val="16"/>
                <w:lang w:val="en-GB"/>
              </w:rPr>
              <w:t>Yes/No</w:t>
            </w:r>
          </w:p>
        </w:tc>
        <w:tc>
          <w:tcPr>
            <w:tcW w:w="1301" w:type="dxa"/>
            <w:gridSpan w:val="2"/>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10</w:t>
            </w:r>
          </w:p>
        </w:tc>
        <w:tc>
          <w:tcPr>
            <w:tcW w:w="4811" w:type="dxa"/>
            <w:gridSpan w:val="5"/>
            <w:vMerge/>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p>
        </w:tc>
      </w:tr>
      <w:tr w:rsidR="005517AF" w:rsidRPr="005517AF" w:rsidTr="003E5744">
        <w:tc>
          <w:tcPr>
            <w:tcW w:w="2376" w:type="dxa"/>
            <w:gridSpan w:val="3"/>
            <w:tcBorders>
              <w:bottom w:val="single" w:sz="4" w:space="0" w:color="auto"/>
            </w:tcBorders>
            <w:shd w:val="clear" w:color="auto" w:fill="auto"/>
            <w:vAlign w:val="center"/>
          </w:tcPr>
          <w:p w:rsidR="005517AF" w:rsidRPr="005517AF" w:rsidRDefault="005517AF" w:rsidP="005517AF">
            <w:pPr>
              <w:spacing w:after="0" w:line="240" w:lineRule="auto"/>
              <w:rPr>
                <w:rFonts w:ascii="Arial" w:hAnsi="Arial" w:cs="Arial"/>
                <w:sz w:val="16"/>
                <w:szCs w:val="16"/>
                <w:lang w:val="en-GB"/>
              </w:rPr>
            </w:pPr>
            <w:r w:rsidRPr="005517AF">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5517AF" w:rsidRPr="005517AF" w:rsidRDefault="005517AF" w:rsidP="005517AF">
            <w:pPr>
              <w:spacing w:after="0" w:line="240" w:lineRule="auto"/>
              <w:jc w:val="center"/>
              <w:rPr>
                <w:lang w:val="en-GB"/>
              </w:rPr>
            </w:pPr>
            <w:r w:rsidRPr="005517AF">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30</w:t>
            </w:r>
          </w:p>
        </w:tc>
        <w:tc>
          <w:tcPr>
            <w:tcW w:w="4811" w:type="dxa"/>
            <w:gridSpan w:val="5"/>
            <w:vMerge/>
            <w:tcBorders>
              <w:bottom w:val="single" w:sz="4" w:space="0" w:color="auto"/>
            </w:tcBorders>
            <w:shd w:val="clear" w:color="auto" w:fill="auto"/>
            <w:vAlign w:val="center"/>
          </w:tcPr>
          <w:p w:rsidR="005517AF" w:rsidRPr="005517AF" w:rsidRDefault="005517AF" w:rsidP="005517AF">
            <w:pPr>
              <w:spacing w:after="0" w:line="240" w:lineRule="auto"/>
              <w:jc w:val="center"/>
              <w:rPr>
                <w:rFonts w:ascii="Arial" w:hAnsi="Arial" w:cs="Arial"/>
                <w:sz w:val="16"/>
                <w:szCs w:val="16"/>
                <w:lang w:val="en-GB"/>
              </w:rPr>
            </w:pPr>
          </w:p>
        </w:tc>
      </w:tr>
      <w:tr w:rsidR="005517AF" w:rsidRPr="005517AF" w:rsidTr="003E5744">
        <w:tc>
          <w:tcPr>
            <w:tcW w:w="9622" w:type="dxa"/>
            <w:gridSpan w:val="11"/>
            <w:shd w:val="clear" w:color="auto" w:fill="C2D69B" w:themeFill="accent3" w:themeFillTint="99"/>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 xml:space="preserve">Literature </w:t>
            </w:r>
          </w:p>
        </w:tc>
      </w:tr>
      <w:tr w:rsidR="005517AF" w:rsidRPr="005517AF" w:rsidTr="003E5744">
        <w:tc>
          <w:tcPr>
            <w:tcW w:w="675" w:type="dxa"/>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Ord.</w:t>
            </w:r>
          </w:p>
        </w:tc>
        <w:tc>
          <w:tcPr>
            <w:tcW w:w="1701" w:type="dxa"/>
            <w:gridSpan w:val="2"/>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Author</w:t>
            </w:r>
          </w:p>
        </w:tc>
        <w:tc>
          <w:tcPr>
            <w:tcW w:w="2435" w:type="dxa"/>
            <w:gridSpan w:val="3"/>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Title</w:t>
            </w:r>
          </w:p>
        </w:tc>
        <w:tc>
          <w:tcPr>
            <w:tcW w:w="3661" w:type="dxa"/>
            <w:gridSpan w:val="4"/>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Publisher</w:t>
            </w:r>
          </w:p>
        </w:tc>
        <w:tc>
          <w:tcPr>
            <w:tcW w:w="1150" w:type="dxa"/>
            <w:vAlign w:val="center"/>
          </w:tcPr>
          <w:p w:rsidR="005517AF" w:rsidRPr="005517AF" w:rsidRDefault="005517AF" w:rsidP="005517AF">
            <w:pPr>
              <w:spacing w:after="0" w:line="240" w:lineRule="auto"/>
              <w:jc w:val="center"/>
              <w:rPr>
                <w:rFonts w:ascii="Arial" w:hAnsi="Arial" w:cs="Arial"/>
                <w:sz w:val="16"/>
                <w:szCs w:val="16"/>
                <w:lang w:val="en-GB"/>
              </w:rPr>
            </w:pPr>
            <w:r w:rsidRPr="005517AF">
              <w:rPr>
                <w:rFonts w:ascii="Arial" w:hAnsi="Arial" w:cs="Arial"/>
                <w:sz w:val="16"/>
                <w:szCs w:val="16"/>
                <w:lang w:val="en-GB"/>
              </w:rPr>
              <w:t>Year</w:t>
            </w:r>
          </w:p>
        </w:tc>
      </w:tr>
      <w:tr w:rsidR="005517AF" w:rsidRPr="005517AF" w:rsidTr="003E5744">
        <w:tc>
          <w:tcPr>
            <w:tcW w:w="675" w:type="dxa"/>
            <w:vAlign w:val="center"/>
          </w:tcPr>
          <w:p w:rsidR="005517AF" w:rsidRPr="005517AF" w:rsidRDefault="005517AF" w:rsidP="005517AF">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Petrović, Ž. i D. Janković</w:t>
            </w:r>
          </w:p>
        </w:tc>
        <w:tc>
          <w:tcPr>
            <w:tcW w:w="2435" w:type="dxa"/>
            <w:gridSpan w:val="3"/>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Poljoprivredno savetodavstvo Srbije – stanje, problemi i mogućnosti reformi</w:t>
            </w:r>
          </w:p>
        </w:tc>
        <w:tc>
          <w:tcPr>
            <w:tcW w:w="3661" w:type="dxa"/>
            <w:gridSpan w:val="4"/>
            <w:vAlign w:val="center"/>
          </w:tcPr>
          <w:p w:rsidR="005517AF" w:rsidRPr="005517AF" w:rsidRDefault="005517AF" w:rsidP="005517AF">
            <w:pPr>
              <w:spacing w:after="0" w:line="240" w:lineRule="auto"/>
              <w:jc w:val="center"/>
              <w:rPr>
                <w:rFonts w:cs="Arial"/>
                <w:sz w:val="16"/>
                <w:szCs w:val="16"/>
                <w:lang w:val="de-DE"/>
              </w:rPr>
            </w:pPr>
            <w:r w:rsidRPr="005517AF">
              <w:rPr>
                <w:rFonts w:cs="Arial"/>
                <w:bCs/>
                <w:sz w:val="16"/>
                <w:szCs w:val="16"/>
                <w:lang w:val="de-DE"/>
              </w:rPr>
              <w:t>Poljoprivredni fakultet Novi Sad. p. 1-201</w:t>
            </w:r>
          </w:p>
        </w:tc>
        <w:tc>
          <w:tcPr>
            <w:tcW w:w="1150" w:type="dxa"/>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2010</w:t>
            </w:r>
          </w:p>
        </w:tc>
      </w:tr>
      <w:tr w:rsidR="005517AF" w:rsidRPr="005517AF" w:rsidTr="003E5744">
        <w:tc>
          <w:tcPr>
            <w:tcW w:w="675" w:type="dxa"/>
            <w:vAlign w:val="center"/>
          </w:tcPr>
          <w:p w:rsidR="005517AF" w:rsidRPr="005517AF" w:rsidRDefault="005517AF" w:rsidP="005517AF">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lang w:val="ru-RU"/>
              </w:rPr>
              <w:t>Petrović</w:t>
            </w:r>
            <w:r w:rsidRPr="005517AF">
              <w:rPr>
                <w:rFonts w:cs="Arial"/>
                <w:bCs/>
                <w:sz w:val="16"/>
                <w:szCs w:val="16"/>
                <w:lang w:val="sr-Latn-CS"/>
              </w:rPr>
              <w:t xml:space="preserve">, </w:t>
            </w:r>
            <w:r w:rsidRPr="005517AF">
              <w:rPr>
                <w:rFonts w:cs="Arial"/>
                <w:bCs/>
                <w:sz w:val="16"/>
                <w:szCs w:val="16"/>
                <w:lang w:val="sr-Cyrl-CS"/>
              </w:rPr>
              <w:t>Ž. (</w:t>
            </w:r>
            <w:r w:rsidRPr="005517AF">
              <w:rPr>
                <w:rFonts w:cs="Arial"/>
                <w:bCs/>
                <w:sz w:val="16"/>
                <w:szCs w:val="16"/>
                <w:lang w:val="sr-Latn-CS"/>
              </w:rPr>
              <w:t>ur.</w:t>
            </w:r>
            <w:r w:rsidRPr="005517AF">
              <w:rPr>
                <w:rFonts w:cs="Arial"/>
                <w:bCs/>
                <w:sz w:val="16"/>
                <w:szCs w:val="16"/>
                <w:lang w:val="sr-Cyrl-CS"/>
              </w:rPr>
              <w:t>)</w:t>
            </w:r>
          </w:p>
        </w:tc>
        <w:tc>
          <w:tcPr>
            <w:tcW w:w="2435" w:type="dxa"/>
            <w:gridSpan w:val="3"/>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lang w:val="ru-RU"/>
              </w:rPr>
              <w:t>Sistem informacija u poljoprivrednom savetodavstvu Vojvodine</w:t>
            </w:r>
          </w:p>
        </w:tc>
        <w:tc>
          <w:tcPr>
            <w:tcW w:w="3661" w:type="dxa"/>
            <w:gridSpan w:val="4"/>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Poljoprivredni fakultet, Novi Sad</w:t>
            </w:r>
          </w:p>
        </w:tc>
        <w:tc>
          <w:tcPr>
            <w:tcW w:w="1150" w:type="dxa"/>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lang w:val="ru-RU"/>
              </w:rPr>
              <w:t>2007</w:t>
            </w:r>
          </w:p>
        </w:tc>
      </w:tr>
      <w:tr w:rsidR="005517AF" w:rsidRPr="005517AF" w:rsidTr="003E5744">
        <w:tc>
          <w:tcPr>
            <w:tcW w:w="675" w:type="dxa"/>
            <w:vAlign w:val="center"/>
          </w:tcPr>
          <w:p w:rsidR="005517AF" w:rsidRPr="005517AF" w:rsidRDefault="005517AF" w:rsidP="005517AF">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Hoffmann, V., Gerster-Bentaya, M. Christink, A. and M. Lema (Ed.)</w:t>
            </w:r>
          </w:p>
        </w:tc>
        <w:tc>
          <w:tcPr>
            <w:tcW w:w="2435" w:type="dxa"/>
            <w:gridSpan w:val="3"/>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Rural Extension. Basic concepts and issues</w:t>
            </w:r>
          </w:p>
        </w:tc>
        <w:tc>
          <w:tcPr>
            <w:tcW w:w="3661" w:type="dxa"/>
            <w:gridSpan w:val="4"/>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VOL: 1. MARGRAF PUBLISHERS</w:t>
            </w:r>
          </w:p>
        </w:tc>
        <w:tc>
          <w:tcPr>
            <w:tcW w:w="1150" w:type="dxa"/>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rPr>
              <w:t>2009</w:t>
            </w:r>
          </w:p>
        </w:tc>
      </w:tr>
      <w:tr w:rsidR="005517AF" w:rsidRPr="005517AF" w:rsidTr="003E5744">
        <w:tc>
          <w:tcPr>
            <w:tcW w:w="675" w:type="dxa"/>
            <w:vAlign w:val="center"/>
          </w:tcPr>
          <w:p w:rsidR="005517AF" w:rsidRPr="005517AF" w:rsidRDefault="005517AF" w:rsidP="005517AF">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5517AF" w:rsidRPr="005517AF" w:rsidRDefault="005517AF" w:rsidP="005517AF">
            <w:pPr>
              <w:spacing w:after="0" w:line="240" w:lineRule="auto"/>
              <w:jc w:val="center"/>
              <w:rPr>
                <w:rFonts w:cs="Arial"/>
                <w:sz w:val="16"/>
                <w:szCs w:val="16"/>
                <w:lang w:val="de-DE"/>
              </w:rPr>
            </w:pPr>
            <w:r w:rsidRPr="005517AF">
              <w:rPr>
                <w:rFonts w:cs="Arial"/>
                <w:bCs/>
                <w:sz w:val="16"/>
                <w:szCs w:val="16"/>
                <w:lang w:val="es-ES"/>
              </w:rPr>
              <w:t>Van den Ban, A.W &amp; H. S. Hawkins</w:t>
            </w:r>
          </w:p>
        </w:tc>
        <w:tc>
          <w:tcPr>
            <w:tcW w:w="2435" w:type="dxa"/>
            <w:gridSpan w:val="3"/>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lang w:val="es-ES"/>
              </w:rPr>
              <w:t xml:space="preserve">Agricultural Extension. </w:t>
            </w:r>
            <w:r w:rsidRPr="005517AF">
              <w:rPr>
                <w:rFonts w:cs="Arial"/>
                <w:bCs/>
                <w:sz w:val="16"/>
                <w:szCs w:val="16"/>
                <w:lang w:val="en-GB"/>
              </w:rPr>
              <w:t>Second Edition</w:t>
            </w:r>
          </w:p>
        </w:tc>
        <w:tc>
          <w:tcPr>
            <w:tcW w:w="3661" w:type="dxa"/>
            <w:gridSpan w:val="4"/>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lang w:val="en-GB"/>
              </w:rPr>
              <w:t>Blackwell Science</w:t>
            </w:r>
          </w:p>
        </w:tc>
        <w:tc>
          <w:tcPr>
            <w:tcW w:w="1150" w:type="dxa"/>
            <w:vAlign w:val="center"/>
          </w:tcPr>
          <w:p w:rsidR="005517AF" w:rsidRPr="005517AF" w:rsidRDefault="005517AF" w:rsidP="005517AF">
            <w:pPr>
              <w:spacing w:after="0" w:line="240" w:lineRule="auto"/>
              <w:jc w:val="center"/>
              <w:rPr>
                <w:rFonts w:cs="Arial"/>
                <w:sz w:val="16"/>
                <w:szCs w:val="16"/>
                <w:lang w:val="en-GB"/>
              </w:rPr>
            </w:pPr>
            <w:r w:rsidRPr="005517AF">
              <w:rPr>
                <w:rFonts w:cs="Arial"/>
                <w:bCs/>
                <w:sz w:val="16"/>
                <w:szCs w:val="16"/>
                <w:lang w:val="es-ES"/>
              </w:rPr>
              <w:t>1996</w:t>
            </w:r>
          </w:p>
        </w:tc>
      </w:tr>
    </w:tbl>
    <w:p w:rsidR="00474BCC" w:rsidRPr="005517AF" w:rsidRDefault="00474BCC">
      <w:pPr>
        <w:rPr>
          <w:lang w:val="de-DE"/>
        </w:rPr>
      </w:pPr>
    </w:p>
    <w:sectPr w:rsidR="00474BCC" w:rsidRPr="005517AF"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FC" w:rsidRDefault="00C748FC" w:rsidP="00B21899">
      <w:pPr>
        <w:spacing w:after="0" w:line="240" w:lineRule="auto"/>
      </w:pPr>
      <w:r>
        <w:separator/>
      </w:r>
    </w:p>
  </w:endnote>
  <w:endnote w:type="continuationSeparator" w:id="1">
    <w:p w:rsidR="00C748FC" w:rsidRDefault="00C748FC" w:rsidP="00B21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FC" w:rsidRDefault="00C748FC" w:rsidP="00B21899">
      <w:pPr>
        <w:spacing w:after="0" w:line="240" w:lineRule="auto"/>
      </w:pPr>
      <w:r>
        <w:separator/>
      </w:r>
    </w:p>
  </w:footnote>
  <w:footnote w:type="continuationSeparator" w:id="1">
    <w:p w:rsidR="00C748FC" w:rsidRDefault="00C748FC" w:rsidP="00B21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5517AF"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5517AF"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C748FC" w:rsidP="003E5744">
          <w:pPr>
            <w:spacing w:after="0" w:line="240" w:lineRule="auto"/>
            <w:jc w:val="center"/>
            <w:rPr>
              <w:rFonts w:ascii="Arial" w:hAnsi="Arial" w:cs="Arial"/>
              <w:sz w:val="16"/>
              <w:szCs w:val="16"/>
            </w:rPr>
          </w:pPr>
        </w:p>
        <w:p w:rsidR="007A6AC5" w:rsidRPr="00617B42" w:rsidRDefault="005517AF"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5517AF"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C748FC"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5517AF" w:rsidP="003E5744">
          <w:pPr>
            <w:spacing w:after="0" w:line="240" w:lineRule="auto"/>
            <w:jc w:val="center"/>
            <w:rPr>
              <w:sz w:val="28"/>
              <w:szCs w:val="28"/>
            </w:rPr>
          </w:pPr>
          <w:r w:rsidRPr="00617B42">
            <w:rPr>
              <w:sz w:val="28"/>
              <w:szCs w:val="28"/>
            </w:rPr>
            <w:t>Study Programme Accreditation</w:t>
          </w:r>
        </w:p>
        <w:p w:rsidR="007A6AC5" w:rsidRPr="00617B42" w:rsidRDefault="00C748FC" w:rsidP="003E5744">
          <w:pPr>
            <w:spacing w:after="0" w:line="240" w:lineRule="auto"/>
            <w:jc w:val="center"/>
          </w:pPr>
        </w:p>
        <w:p w:rsidR="007A6AC5" w:rsidRPr="00617B42" w:rsidRDefault="005517AF"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C748FC"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5517AF"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C74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2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E7431"/>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C0A6C"/>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A6B8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5517AF"/>
    <w:rsid w:val="00031247"/>
    <w:rsid w:val="00474BCC"/>
    <w:rsid w:val="005517AF"/>
    <w:rsid w:val="006A0BBB"/>
    <w:rsid w:val="007E7597"/>
    <w:rsid w:val="00884F99"/>
    <w:rsid w:val="00B21899"/>
    <w:rsid w:val="00C25483"/>
    <w:rsid w:val="00C748FC"/>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A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5517A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7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17AF"/>
  </w:style>
  <w:style w:type="table" w:customStyle="1" w:styleId="TableGrid2">
    <w:name w:val="Table Grid2"/>
    <w:basedOn w:val="TableNormal"/>
    <w:next w:val="TableGrid"/>
    <w:uiPriority w:val="59"/>
    <w:rsid w:val="005517A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17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AF"/>
    <w:rPr>
      <w:rFonts w:ascii="Tahoma" w:hAnsi="Tahoma" w:cs="Tahoma"/>
      <w:sz w:val="16"/>
      <w:szCs w:val="16"/>
    </w:rPr>
  </w:style>
  <w:style w:type="table" w:customStyle="1" w:styleId="TableGrid1">
    <w:name w:val="Table Grid1"/>
    <w:basedOn w:val="TableNormal"/>
    <w:next w:val="TableGrid"/>
    <w:uiPriority w:val="59"/>
    <w:rsid w:val="005517A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2015-01-21T16:19:00Z</dcterms:created>
  <dcterms:modified xsi:type="dcterms:W3CDTF">2015-01-21T16:29:00Z</dcterms:modified>
</cp:coreProperties>
</file>