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283"/>
        <w:gridCol w:w="867"/>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0"/>
            <w:vMerge w:val="restart"/>
            <w:vAlign w:val="center"/>
          </w:tcPr>
          <w:p w:rsidR="009E2BF4" w:rsidRPr="005E53EF" w:rsidRDefault="00857136" w:rsidP="002E14AA">
            <w:pPr>
              <w:jc w:val="center"/>
              <w:rPr>
                <w:rFonts w:ascii="Arial" w:hAnsi="Arial" w:cs="Arial"/>
                <w:sz w:val="24"/>
                <w:szCs w:val="24"/>
              </w:rPr>
            </w:pPr>
            <w:r w:rsidRPr="00857136">
              <w:rPr>
                <w:rFonts w:ascii="Arial" w:hAnsi="Arial" w:cs="Arial"/>
                <w:sz w:val="24"/>
                <w:szCs w:val="24"/>
              </w:rPr>
              <w:t>Quality and safety of agricultural products</w:t>
            </w:r>
          </w:p>
        </w:tc>
      </w:tr>
      <w:tr w:rsidR="009E2BF4" w:rsidTr="009E2BF4">
        <w:tc>
          <w:tcPr>
            <w:tcW w:w="2092" w:type="dxa"/>
            <w:gridSpan w:val="2"/>
            <w:vAlign w:val="center"/>
          </w:tcPr>
          <w:p w:rsidR="009E2BF4" w:rsidRPr="009E2BF4" w:rsidRDefault="009E2BF4" w:rsidP="00A55D14">
            <w:pPr>
              <w:rPr>
                <w:rFonts w:ascii="Arial" w:hAnsi="Arial" w:cs="Arial"/>
                <w:sz w:val="16"/>
                <w:szCs w:val="16"/>
              </w:rPr>
            </w:pPr>
            <w:r w:rsidRPr="009E2BF4">
              <w:rPr>
                <w:rFonts w:ascii="Arial" w:hAnsi="Arial" w:cs="Arial"/>
                <w:sz w:val="16"/>
                <w:szCs w:val="16"/>
              </w:rPr>
              <w:t>Course id:</w:t>
            </w:r>
            <w:r w:rsidR="005E53EF" w:rsidRPr="00D5761E">
              <w:rPr>
                <w:rFonts w:ascii="Arial" w:hAnsi="Arial" w:cs="Arial"/>
                <w:bCs/>
                <w:sz w:val="14"/>
                <w:szCs w:val="14"/>
              </w:rPr>
              <w:t>3О</w:t>
            </w:r>
            <w:r w:rsidR="00A55D14">
              <w:rPr>
                <w:rFonts w:ascii="Arial" w:hAnsi="Arial" w:cs="Arial"/>
                <w:bCs/>
                <w:sz w:val="14"/>
                <w:szCs w:val="14"/>
              </w:rPr>
              <w:t>OP7O34</w:t>
            </w:r>
          </w:p>
        </w:tc>
        <w:tc>
          <w:tcPr>
            <w:tcW w:w="7530" w:type="dxa"/>
            <w:gridSpan w:val="10"/>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A55D14">
              <w:rPr>
                <w:rFonts w:ascii="Arial" w:hAnsi="Arial" w:cs="Arial"/>
                <w:sz w:val="16"/>
                <w:szCs w:val="16"/>
              </w:rPr>
              <w:t>4</w:t>
            </w:r>
          </w:p>
        </w:tc>
        <w:tc>
          <w:tcPr>
            <w:tcW w:w="7530" w:type="dxa"/>
            <w:gridSpan w:val="10"/>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5E53EF">
              <w:rPr>
                <w:rFonts w:ascii="Arial" w:hAnsi="Arial" w:cs="Arial"/>
                <w:sz w:val="16"/>
                <w:szCs w:val="16"/>
              </w:rPr>
              <w:t>s</w:t>
            </w:r>
            <w:r w:rsidRPr="009E2BF4">
              <w:rPr>
                <w:rFonts w:ascii="Arial" w:hAnsi="Arial" w:cs="Arial"/>
                <w:sz w:val="16"/>
                <w:szCs w:val="16"/>
              </w:rPr>
              <w:t>:</w:t>
            </w:r>
          </w:p>
        </w:tc>
        <w:tc>
          <w:tcPr>
            <w:tcW w:w="7530" w:type="dxa"/>
            <w:gridSpan w:val="10"/>
          </w:tcPr>
          <w:p w:rsidR="005E53EF" w:rsidRPr="005E53EF" w:rsidRDefault="00A55D14" w:rsidP="001312B9">
            <w:pPr>
              <w:rPr>
                <w:rFonts w:ascii="Arial" w:hAnsi="Arial" w:cs="Arial"/>
                <w:sz w:val="16"/>
                <w:szCs w:val="16"/>
              </w:rPr>
            </w:pPr>
            <w:r>
              <w:rPr>
                <w:rFonts w:ascii="Arial" w:hAnsi="Arial" w:cs="Arial"/>
                <w:sz w:val="16"/>
                <w:szCs w:val="16"/>
              </w:rPr>
              <w:t>Igor Jajić</w:t>
            </w:r>
            <w:r w:rsidR="005E53EF" w:rsidRPr="005E53EF">
              <w:rPr>
                <w:rFonts w:ascii="Arial" w:hAnsi="Arial" w:cs="Arial"/>
                <w:sz w:val="16"/>
                <w:szCs w:val="16"/>
              </w:rPr>
              <w:t xml:space="preserve">, PhD, </w:t>
            </w:r>
            <w:r>
              <w:rPr>
                <w:rFonts w:ascii="Arial" w:hAnsi="Arial" w:cs="Arial"/>
                <w:sz w:val="16"/>
                <w:szCs w:val="16"/>
              </w:rPr>
              <w:t xml:space="preserve">Assistant </w:t>
            </w:r>
            <w:r w:rsidR="005E53EF" w:rsidRPr="005E53EF">
              <w:rPr>
                <w:rFonts w:ascii="Arial" w:hAnsi="Arial" w:cs="Arial"/>
                <w:sz w:val="16"/>
                <w:szCs w:val="16"/>
              </w:rPr>
              <w:t xml:space="preserve">Professor, </w:t>
            </w:r>
            <w:r>
              <w:rPr>
                <w:rFonts w:ascii="Arial" w:hAnsi="Arial" w:cs="Arial"/>
                <w:sz w:val="16"/>
                <w:szCs w:val="16"/>
              </w:rPr>
              <w:t>VojislavaBursić</w:t>
            </w:r>
            <w:r w:rsidR="005E53EF" w:rsidRPr="005E53EF">
              <w:rPr>
                <w:rFonts w:ascii="Arial" w:hAnsi="Arial" w:cs="Arial"/>
                <w:sz w:val="16"/>
                <w:szCs w:val="16"/>
              </w:rPr>
              <w:t xml:space="preserve">, PhD, </w:t>
            </w:r>
            <w:r>
              <w:rPr>
                <w:rFonts w:ascii="Arial" w:hAnsi="Arial" w:cs="Arial"/>
                <w:sz w:val="16"/>
                <w:szCs w:val="16"/>
              </w:rPr>
              <w:t>Assistant Professor</w:t>
            </w:r>
          </w:p>
          <w:p w:rsidR="002611DF" w:rsidRPr="005E53EF" w:rsidRDefault="00A55D14" w:rsidP="001312B9">
            <w:pPr>
              <w:rPr>
                <w:rFonts w:ascii="Arial" w:hAnsi="Arial" w:cs="Arial"/>
                <w:sz w:val="16"/>
                <w:szCs w:val="16"/>
              </w:rPr>
            </w:pPr>
            <w:r>
              <w:rPr>
                <w:rFonts w:ascii="Arial" w:hAnsi="Arial" w:cs="Arial"/>
                <w:sz w:val="16"/>
                <w:szCs w:val="16"/>
              </w:rPr>
              <w:t>Vojislava</w:t>
            </w:r>
            <w:r w:rsidR="0014598C">
              <w:rPr>
                <w:rFonts w:ascii="Arial" w:hAnsi="Arial" w:cs="Arial"/>
                <w:sz w:val="16"/>
                <w:szCs w:val="16"/>
              </w:rPr>
              <w:t xml:space="preserve"> </w:t>
            </w:r>
            <w:proofErr w:type="spellStart"/>
            <w:r>
              <w:rPr>
                <w:rFonts w:ascii="Arial" w:hAnsi="Arial" w:cs="Arial"/>
                <w:sz w:val="16"/>
                <w:szCs w:val="16"/>
              </w:rPr>
              <w:t>Bursić</w:t>
            </w:r>
            <w:proofErr w:type="spellEnd"/>
            <w:r w:rsidR="005E53EF" w:rsidRPr="005E53EF">
              <w:rPr>
                <w:rFonts w:ascii="Arial" w:hAnsi="Arial" w:cs="Arial"/>
                <w:sz w:val="16"/>
                <w:szCs w:val="16"/>
              </w:rPr>
              <w:t>, PhD, Assistant Professor</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0"/>
            <w:tcBorders>
              <w:bottom w:val="single" w:sz="4" w:space="0" w:color="auto"/>
            </w:tcBorders>
          </w:tcPr>
          <w:p w:rsidR="00DF0ABC" w:rsidRDefault="00AE67EE" w:rsidP="005E53EF">
            <w:r>
              <w:rPr>
                <w:sz w:val="18"/>
                <w:szCs w:val="18"/>
              </w:rPr>
              <w:t>Mandatory</w:t>
            </w:r>
          </w:p>
        </w:tc>
      </w:tr>
      <w:tr w:rsidR="009E2BF4" w:rsidTr="009E2BF4">
        <w:trPr>
          <w:trHeight w:val="227"/>
        </w:trPr>
        <w:tc>
          <w:tcPr>
            <w:tcW w:w="9622" w:type="dxa"/>
            <w:gridSpan w:val="12"/>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A55D14">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E53EF">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0"/>
            <w:shd w:val="clear" w:color="auto" w:fill="C2D69B" w:themeFill="accent3" w:themeFillTint="99"/>
            <w:vAlign w:val="center"/>
          </w:tcPr>
          <w:p w:rsidR="009E2BF4" w:rsidRPr="005E42D1" w:rsidRDefault="00A55D14" w:rsidP="005E53EF">
            <w:pPr>
              <w:rPr>
                <w:rFonts w:ascii="Arial" w:hAnsi="Arial" w:cs="Arial"/>
                <w:sz w:val="16"/>
                <w:szCs w:val="16"/>
              </w:rPr>
            </w:pPr>
            <w:r>
              <w:rPr>
                <w:rFonts w:ascii="Arial" w:hAnsi="Arial" w:cs="Arial"/>
                <w:sz w:val="16"/>
                <w:szCs w:val="16"/>
              </w:rPr>
              <w:t>Chemistry, Biochemistry, Physiology</w:t>
            </w:r>
          </w:p>
        </w:tc>
      </w:tr>
      <w:tr w:rsidR="005E42D1" w:rsidTr="009E0166">
        <w:tc>
          <w:tcPr>
            <w:tcW w:w="9622" w:type="dxa"/>
            <w:gridSpan w:val="12"/>
          </w:tcPr>
          <w:p w:rsidR="005E42D1" w:rsidRPr="00355E57" w:rsidRDefault="005E42D1" w:rsidP="007D59B4">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r w:rsidR="00A55D14">
              <w:rPr>
                <w:rFonts w:ascii="Arial" w:hAnsi="Arial" w:cs="Arial"/>
                <w:sz w:val="16"/>
                <w:szCs w:val="16"/>
              </w:rPr>
              <w:t xml:space="preserve">- The meaning </w:t>
            </w:r>
            <w:r w:rsidR="007D59B4">
              <w:rPr>
                <w:rFonts w:ascii="Arial" w:hAnsi="Arial" w:cs="Arial"/>
                <w:sz w:val="16"/>
                <w:szCs w:val="16"/>
              </w:rPr>
              <w:t>of organic food quality comprises</w:t>
            </w:r>
            <w:r w:rsidR="00A55D14">
              <w:rPr>
                <w:rFonts w:ascii="Arial" w:hAnsi="Arial" w:cs="Arial"/>
                <w:sz w:val="16"/>
                <w:szCs w:val="16"/>
              </w:rPr>
              <w:t xml:space="preserve"> controlled and certifi</w:t>
            </w:r>
            <w:r w:rsidR="007D59B4">
              <w:rPr>
                <w:rFonts w:ascii="Arial" w:hAnsi="Arial" w:cs="Arial"/>
                <w:sz w:val="16"/>
                <w:szCs w:val="16"/>
              </w:rPr>
              <w:t>ed</w:t>
            </w:r>
            <w:r w:rsidR="00A55D14">
              <w:rPr>
                <w:rFonts w:ascii="Arial" w:hAnsi="Arial" w:cs="Arial"/>
                <w:sz w:val="16"/>
                <w:szCs w:val="16"/>
              </w:rPr>
              <w:t xml:space="preserve"> production based on EU regulations and IFOAM standards. </w:t>
            </w:r>
            <w:r w:rsidR="007D59B4">
              <w:rPr>
                <w:rFonts w:ascii="Arial" w:hAnsi="Arial" w:cs="Arial"/>
                <w:sz w:val="16"/>
                <w:szCs w:val="16"/>
              </w:rPr>
              <w:t xml:space="preserve">Introducing </w:t>
            </w:r>
            <w:r w:rsidR="00A55D14">
              <w:rPr>
                <w:rFonts w:ascii="Arial" w:hAnsi="Arial" w:cs="Arial"/>
                <w:sz w:val="16"/>
                <w:szCs w:val="16"/>
              </w:rPr>
              <w:t xml:space="preserve">students </w:t>
            </w:r>
            <w:r w:rsidR="007D59B4">
              <w:rPr>
                <w:rFonts w:ascii="Arial" w:hAnsi="Arial" w:cs="Arial"/>
                <w:sz w:val="16"/>
                <w:szCs w:val="16"/>
              </w:rPr>
              <w:t xml:space="preserve">to the </w:t>
            </w:r>
            <w:r w:rsidR="00887B2A">
              <w:rPr>
                <w:rFonts w:ascii="Arial" w:hAnsi="Arial" w:cs="Arial"/>
                <w:sz w:val="16"/>
                <w:szCs w:val="16"/>
              </w:rPr>
              <w:t>field</w:t>
            </w:r>
            <w:r w:rsidR="007D59B4">
              <w:rPr>
                <w:rFonts w:ascii="Arial" w:hAnsi="Arial" w:cs="Arial"/>
                <w:sz w:val="16"/>
                <w:szCs w:val="16"/>
              </w:rPr>
              <w:t xml:space="preserve"> of</w:t>
            </w:r>
            <w:r w:rsidR="00887B2A">
              <w:rPr>
                <w:rFonts w:ascii="Arial" w:hAnsi="Arial" w:cs="Arial"/>
                <w:sz w:val="16"/>
                <w:szCs w:val="16"/>
              </w:rPr>
              <w:t xml:space="preserve"> food safety, understanding the GMP and GHP programs which are </w:t>
            </w:r>
            <w:r w:rsidR="007D59B4">
              <w:rPr>
                <w:rFonts w:ascii="Arial" w:hAnsi="Arial" w:cs="Arial"/>
                <w:sz w:val="16"/>
                <w:szCs w:val="16"/>
              </w:rPr>
              <w:t xml:space="preserve">the </w:t>
            </w:r>
            <w:r w:rsidR="00887B2A" w:rsidRPr="00887B2A">
              <w:rPr>
                <w:rFonts w:ascii="Arial" w:hAnsi="Arial" w:cs="Arial"/>
                <w:sz w:val="16"/>
                <w:szCs w:val="16"/>
              </w:rPr>
              <w:t>basis of efficient management of food safety</w:t>
            </w:r>
            <w:r w:rsidR="00887B2A">
              <w:rPr>
                <w:rFonts w:ascii="Arial" w:hAnsi="Arial" w:cs="Arial"/>
                <w:sz w:val="16"/>
                <w:szCs w:val="16"/>
              </w:rPr>
              <w:t xml:space="preserve"> through HACCP application.  </w:t>
            </w:r>
          </w:p>
        </w:tc>
      </w:tr>
      <w:tr w:rsidR="005E42D1" w:rsidTr="009E0166">
        <w:tc>
          <w:tcPr>
            <w:tcW w:w="9622" w:type="dxa"/>
            <w:gridSpan w:val="12"/>
          </w:tcPr>
          <w:p w:rsidR="005E42D1" w:rsidRPr="00DA5A67" w:rsidRDefault="005E42D1" w:rsidP="007D59B4">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r w:rsidR="00887B2A">
              <w:rPr>
                <w:rFonts w:ascii="Arial" w:hAnsi="Arial" w:cs="Arial"/>
                <w:sz w:val="16"/>
                <w:szCs w:val="16"/>
              </w:rPr>
              <w:t xml:space="preserve"> - </w:t>
            </w:r>
            <w:r w:rsidR="00DA5A67" w:rsidRPr="00DA5A67">
              <w:rPr>
                <w:rFonts w:ascii="Arial" w:hAnsi="Arial" w:cs="Arial"/>
                <w:sz w:val="16"/>
                <w:szCs w:val="16"/>
              </w:rPr>
              <w:t xml:space="preserve">Acquired knowledge </w:t>
            </w:r>
            <w:r w:rsidR="00887B2A" w:rsidRPr="00887B2A">
              <w:rPr>
                <w:rFonts w:ascii="Arial" w:hAnsi="Arial" w:cs="Arial"/>
                <w:sz w:val="16"/>
                <w:szCs w:val="16"/>
              </w:rPr>
              <w:t xml:space="preserve">on methods </w:t>
            </w:r>
            <w:r w:rsidR="007D59B4">
              <w:rPr>
                <w:rFonts w:ascii="Arial" w:hAnsi="Arial" w:cs="Arial"/>
                <w:sz w:val="16"/>
                <w:szCs w:val="16"/>
              </w:rPr>
              <w:t>of</w:t>
            </w:r>
            <w:r w:rsidR="00887B2A" w:rsidRPr="00887B2A">
              <w:rPr>
                <w:rFonts w:ascii="Arial" w:hAnsi="Arial" w:cs="Arial"/>
                <w:sz w:val="16"/>
                <w:szCs w:val="16"/>
              </w:rPr>
              <w:t xml:space="preserve"> assessing the quality and safety of agricultural products, </w:t>
            </w:r>
            <w:r w:rsidR="007D59B4">
              <w:rPr>
                <w:rFonts w:ascii="Arial" w:hAnsi="Arial" w:cs="Arial"/>
                <w:sz w:val="16"/>
                <w:szCs w:val="16"/>
              </w:rPr>
              <w:t>regarding</w:t>
            </w:r>
            <w:r w:rsidR="00887B2A" w:rsidRPr="00887B2A">
              <w:rPr>
                <w:rFonts w:ascii="Arial" w:hAnsi="Arial" w:cs="Arial"/>
                <w:sz w:val="16"/>
                <w:szCs w:val="16"/>
              </w:rPr>
              <w:t>human health</w:t>
            </w:r>
            <w:r w:rsidR="00887B2A">
              <w:rPr>
                <w:rFonts w:ascii="Arial" w:hAnsi="Arial" w:cs="Arial"/>
                <w:sz w:val="16"/>
                <w:szCs w:val="16"/>
              </w:rPr>
              <w:t>,</w:t>
            </w:r>
            <w:r w:rsidR="00887B2A" w:rsidRPr="00887B2A">
              <w:rPr>
                <w:rFonts w:ascii="Arial" w:hAnsi="Arial" w:cs="Arial"/>
                <w:sz w:val="16"/>
                <w:szCs w:val="16"/>
              </w:rPr>
              <w:t xml:space="preserve"> through strict adherence to the </w:t>
            </w:r>
            <w:r w:rsidR="007D59B4">
              <w:rPr>
                <w:rFonts w:ascii="Arial" w:hAnsi="Arial" w:cs="Arial"/>
                <w:sz w:val="16"/>
                <w:szCs w:val="16"/>
              </w:rPr>
              <w:t>valid</w:t>
            </w:r>
            <w:r w:rsidR="00887B2A" w:rsidRPr="00887B2A">
              <w:rPr>
                <w:rFonts w:ascii="Arial" w:hAnsi="Arial" w:cs="Arial"/>
                <w:sz w:val="16"/>
                <w:szCs w:val="16"/>
              </w:rPr>
              <w:t xml:space="preserve"> legislation</w:t>
            </w:r>
            <w:r w:rsidR="00887B2A">
              <w:rPr>
                <w:rFonts w:ascii="Arial" w:hAnsi="Arial" w:cs="Arial"/>
                <w:sz w:val="16"/>
                <w:szCs w:val="16"/>
              </w:rPr>
              <w:t xml:space="preserve">s. </w:t>
            </w:r>
            <w:r w:rsidR="007D59B4">
              <w:rPr>
                <w:rFonts w:ascii="Arial" w:hAnsi="Arial" w:cs="Arial"/>
                <w:sz w:val="16"/>
                <w:szCs w:val="16"/>
              </w:rPr>
              <w:t>The</w:t>
            </w:r>
            <w:r w:rsidR="007B07B8">
              <w:rPr>
                <w:rFonts w:ascii="Arial" w:hAnsi="Arial" w:cs="Arial"/>
                <w:sz w:val="16"/>
                <w:szCs w:val="16"/>
              </w:rPr>
              <w:t xml:space="preserve">basic </w:t>
            </w:r>
            <w:r w:rsidR="00887B2A" w:rsidRPr="00DA5A67">
              <w:rPr>
                <w:rFonts w:ascii="Arial" w:hAnsi="Arial" w:cs="Arial"/>
                <w:sz w:val="16"/>
                <w:szCs w:val="16"/>
              </w:rPr>
              <w:t xml:space="preserve">knowledge </w:t>
            </w:r>
            <w:r w:rsidR="007B07B8">
              <w:rPr>
                <w:rFonts w:ascii="Arial" w:hAnsi="Arial" w:cs="Arial"/>
                <w:sz w:val="16"/>
                <w:szCs w:val="16"/>
              </w:rPr>
              <w:t>of different chemical and mi</w:t>
            </w:r>
            <w:r w:rsidR="007D59B4">
              <w:rPr>
                <w:rFonts w:ascii="Arial" w:hAnsi="Arial" w:cs="Arial"/>
                <w:sz w:val="16"/>
                <w:szCs w:val="16"/>
              </w:rPr>
              <w:t>crobiological contaminants of ra</w:t>
            </w:r>
            <w:r w:rsidR="007B07B8">
              <w:rPr>
                <w:rFonts w:ascii="Arial" w:hAnsi="Arial" w:cs="Arial"/>
                <w:sz w:val="16"/>
                <w:szCs w:val="16"/>
              </w:rPr>
              <w:t>w materials, food and water, their sources and negative effects on health and quality, including the measures which need to be taken to avoid this kind of contaminants in products.</w:t>
            </w:r>
          </w:p>
        </w:tc>
      </w:tr>
      <w:tr w:rsidR="005E42D1" w:rsidTr="009E0166">
        <w:tc>
          <w:tcPr>
            <w:tcW w:w="9622"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Pr="008467E2" w:rsidRDefault="008550C3" w:rsidP="008467E2">
            <w:pPr>
              <w:jc w:val="both"/>
              <w:rPr>
                <w:rFonts w:ascii="Arial" w:hAnsi="Arial" w:cs="Arial"/>
                <w:sz w:val="16"/>
                <w:szCs w:val="16"/>
              </w:rPr>
            </w:pPr>
            <w:r w:rsidRPr="008467E2">
              <w:rPr>
                <w:rFonts w:ascii="Arial" w:hAnsi="Arial" w:cs="Arial"/>
                <w:i/>
                <w:sz w:val="16"/>
                <w:szCs w:val="16"/>
              </w:rPr>
              <w:t>Theoretical lessons:</w:t>
            </w:r>
            <w:r w:rsidR="009E0166" w:rsidRPr="008467E2">
              <w:rPr>
                <w:rFonts w:ascii="Arial" w:hAnsi="Arial" w:cs="Arial"/>
                <w:sz w:val="16"/>
                <w:szCs w:val="16"/>
              </w:rPr>
              <w:t>Food defini</w:t>
            </w:r>
            <w:r w:rsidR="00B91F85" w:rsidRPr="008467E2">
              <w:rPr>
                <w:rFonts w:ascii="Arial" w:hAnsi="Arial" w:cs="Arial"/>
                <w:sz w:val="16"/>
                <w:szCs w:val="16"/>
              </w:rPr>
              <w:t xml:space="preserve">tion, </w:t>
            </w:r>
            <w:r w:rsidR="00D257DE" w:rsidRPr="008467E2">
              <w:rPr>
                <w:rFonts w:ascii="Arial" w:hAnsi="Arial" w:cs="Arial"/>
                <w:sz w:val="16"/>
                <w:szCs w:val="16"/>
              </w:rPr>
              <w:t xml:space="preserve">division by type, manner of use and nutrition value. Food quality definition, morphological and chemical characteristics. Definition of organic food quality. Quality parameters, content of desirable and undesirable substances. Holistic approach </w:t>
            </w:r>
            <w:r w:rsidR="007D59B4">
              <w:rPr>
                <w:rFonts w:ascii="Arial" w:hAnsi="Arial" w:cs="Arial"/>
                <w:sz w:val="16"/>
                <w:szCs w:val="16"/>
              </w:rPr>
              <w:t>to</w:t>
            </w:r>
            <w:r w:rsidR="00D257DE" w:rsidRPr="008467E2">
              <w:rPr>
                <w:rFonts w:ascii="Arial" w:hAnsi="Arial" w:cs="Arial"/>
                <w:sz w:val="16"/>
                <w:szCs w:val="16"/>
              </w:rPr>
              <w:t xml:space="preserve"> the organic food quality assessment, biocristalization method.</w:t>
            </w:r>
            <w:r w:rsidR="00E65C08" w:rsidRPr="008467E2">
              <w:rPr>
                <w:rFonts w:ascii="Arial" w:hAnsi="Arial" w:cs="Arial"/>
                <w:sz w:val="16"/>
                <w:szCs w:val="16"/>
              </w:rPr>
              <w:t xml:space="preserve"> Quality factors: </w:t>
            </w:r>
            <w:r w:rsidR="0065435E" w:rsidRPr="008467E2">
              <w:rPr>
                <w:rFonts w:ascii="Arial" w:hAnsi="Arial" w:cs="Arial"/>
                <w:sz w:val="16"/>
                <w:szCs w:val="16"/>
              </w:rPr>
              <w:t>sensor</w:t>
            </w:r>
            <w:r w:rsidR="007D59B4">
              <w:rPr>
                <w:rFonts w:ascii="Arial" w:hAnsi="Arial" w:cs="Arial"/>
                <w:sz w:val="16"/>
                <w:szCs w:val="16"/>
              </w:rPr>
              <w:t>y</w:t>
            </w:r>
            <w:r w:rsidR="0065435E" w:rsidRPr="008467E2">
              <w:rPr>
                <w:rFonts w:ascii="Arial" w:hAnsi="Arial" w:cs="Arial"/>
                <w:sz w:val="16"/>
                <w:szCs w:val="16"/>
              </w:rPr>
              <w:t xml:space="preserve">, technological, nutritious, hygienic-toxicological, ethical. Meat: significance, technological and nutrition meat quality. </w:t>
            </w:r>
            <w:r w:rsidR="00655835" w:rsidRPr="008467E2">
              <w:rPr>
                <w:rFonts w:ascii="Arial" w:hAnsi="Arial" w:cs="Arial"/>
                <w:sz w:val="16"/>
                <w:szCs w:val="16"/>
              </w:rPr>
              <w:t xml:space="preserve">Biochemical process in muscles </w:t>
            </w:r>
            <w:r w:rsidR="00655835" w:rsidRPr="008467E2">
              <w:rPr>
                <w:rFonts w:ascii="Arial" w:hAnsi="Arial" w:cs="Arial"/>
                <w:i/>
                <w:sz w:val="16"/>
                <w:szCs w:val="16"/>
              </w:rPr>
              <w:t>postmortem</w:t>
            </w:r>
            <w:r w:rsidR="00655835" w:rsidRPr="008467E2">
              <w:rPr>
                <w:rFonts w:ascii="Arial" w:hAnsi="Arial" w:cs="Arial"/>
                <w:sz w:val="16"/>
                <w:szCs w:val="16"/>
              </w:rPr>
              <w:t xml:space="preserve">, postmortem glycolysis and </w:t>
            </w:r>
            <w:r w:rsidR="00305D64" w:rsidRPr="008467E2">
              <w:rPr>
                <w:rFonts w:ascii="Arial" w:hAnsi="Arial" w:cs="Arial"/>
                <w:sz w:val="16"/>
                <w:szCs w:val="16"/>
              </w:rPr>
              <w:t>meat se</w:t>
            </w:r>
            <w:r w:rsidR="007D59B4">
              <w:rPr>
                <w:rFonts w:ascii="Arial" w:hAnsi="Arial" w:cs="Arial"/>
                <w:sz w:val="16"/>
                <w:szCs w:val="16"/>
              </w:rPr>
              <w:t>asoning</w:t>
            </w:r>
            <w:r w:rsidR="00305D64" w:rsidRPr="008467E2">
              <w:rPr>
                <w:rFonts w:ascii="Arial" w:hAnsi="Arial" w:cs="Arial"/>
                <w:sz w:val="16"/>
                <w:szCs w:val="16"/>
              </w:rPr>
              <w:t>. Eggs: structure and chemical composition, eggs quality preserv</w:t>
            </w:r>
            <w:r w:rsidR="007D59B4">
              <w:rPr>
                <w:rFonts w:ascii="Arial" w:hAnsi="Arial" w:cs="Arial"/>
                <w:sz w:val="16"/>
                <w:szCs w:val="16"/>
              </w:rPr>
              <w:t>ation</w:t>
            </w:r>
            <w:r w:rsidR="00305D64" w:rsidRPr="008467E2">
              <w:rPr>
                <w:rFonts w:ascii="Arial" w:hAnsi="Arial" w:cs="Arial"/>
                <w:sz w:val="16"/>
                <w:szCs w:val="16"/>
              </w:rPr>
              <w:t xml:space="preserve">, processing. Honey: chemical composition, antibacterial properties, types of honey according to the origin and obtaining methods. </w:t>
            </w:r>
            <w:r w:rsidR="007D59B4">
              <w:rPr>
                <w:rFonts w:ascii="Arial" w:hAnsi="Arial" w:cs="Arial"/>
                <w:sz w:val="16"/>
                <w:szCs w:val="16"/>
              </w:rPr>
              <w:t>The m</w:t>
            </w:r>
            <w:r w:rsidR="00305D64" w:rsidRPr="008467E2">
              <w:rPr>
                <w:rFonts w:ascii="Arial" w:hAnsi="Arial" w:cs="Arial"/>
                <w:sz w:val="16"/>
                <w:szCs w:val="16"/>
              </w:rPr>
              <w:t>ost important honey contaminants. GMP, GHP</w:t>
            </w:r>
            <w:r w:rsidR="008467E2" w:rsidRPr="008467E2">
              <w:rPr>
                <w:rFonts w:ascii="Arial" w:hAnsi="Arial" w:cs="Arial"/>
                <w:sz w:val="16"/>
                <w:szCs w:val="16"/>
              </w:rPr>
              <w:t xml:space="preserve"> and HACCP. Food safety legislations. European food legislations (EC 178/2002), EFSA, RASFF. ISO Standard</w:t>
            </w:r>
            <w:r w:rsidR="007D59B4">
              <w:rPr>
                <w:rFonts w:ascii="Arial" w:hAnsi="Arial" w:cs="Arial"/>
                <w:sz w:val="16"/>
                <w:szCs w:val="16"/>
              </w:rPr>
              <w:t>s 9000 and 22000. Food safety la</w:t>
            </w:r>
            <w:r w:rsidR="00C5623C">
              <w:rPr>
                <w:rFonts w:ascii="Arial" w:hAnsi="Arial" w:cs="Arial"/>
                <w:sz w:val="16"/>
                <w:szCs w:val="16"/>
              </w:rPr>
              <w:t>w</w:t>
            </w:r>
            <w:r w:rsidR="0014598C">
              <w:rPr>
                <w:rFonts w:ascii="Arial" w:hAnsi="Arial" w:cs="Arial"/>
                <w:sz w:val="16"/>
                <w:szCs w:val="16"/>
              </w:rPr>
              <w:t xml:space="preserve"> </w:t>
            </w:r>
            <w:r w:rsidR="008467E2" w:rsidRPr="008467E2">
              <w:rPr>
                <w:rFonts w:ascii="Arial" w:hAnsi="Arial" w:cs="Arial"/>
                <w:sz w:val="16"/>
                <w:szCs w:val="16"/>
              </w:rPr>
              <w:t xml:space="preserve">RS 41/2009. Toxicological foodstuff quality. Foodstuff contaminants: pesticides, </w:t>
            </w:r>
            <w:r w:rsidR="008467E2" w:rsidRPr="008467E2">
              <w:rPr>
                <w:rFonts w:ascii="Arial" w:hAnsi="Arial" w:cs="Arial"/>
                <w:sz w:val="16"/>
                <w:szCs w:val="16"/>
                <w:shd w:val="clear" w:color="auto" w:fill="FFFFFF"/>
              </w:rPr>
              <w:t>polychlorinated biphenyls</w:t>
            </w:r>
            <w:r w:rsidR="008467E2" w:rsidRPr="008467E2">
              <w:rPr>
                <w:rFonts w:ascii="Arial" w:hAnsi="Arial" w:cs="Arial"/>
                <w:sz w:val="16"/>
                <w:szCs w:val="16"/>
              </w:rPr>
              <w:t xml:space="preserve">, heavy metals, dioxins and mycotoxins.  </w:t>
            </w:r>
          </w:p>
          <w:p w:rsidR="005E42D1" w:rsidRPr="00052933" w:rsidRDefault="008550C3" w:rsidP="00C5623C">
            <w:pPr>
              <w:jc w:val="both"/>
              <w:rPr>
                <w:rFonts w:ascii="Arial" w:eastAsia="Calibri" w:hAnsi="Arial" w:cs="Arial"/>
                <w:sz w:val="16"/>
                <w:szCs w:val="16"/>
              </w:rPr>
            </w:pPr>
            <w:r w:rsidRPr="004669C4">
              <w:rPr>
                <w:rFonts w:ascii="Arial" w:hAnsi="Arial" w:cs="Arial"/>
                <w:i/>
                <w:sz w:val="16"/>
                <w:szCs w:val="16"/>
                <w:lang w:val="en-GB"/>
              </w:rPr>
              <w:t>Practical</w:t>
            </w:r>
            <w:r w:rsidRPr="004669C4">
              <w:rPr>
                <w:rFonts w:ascii="Arial" w:eastAsia="Calibri" w:hAnsi="Arial" w:cs="Arial"/>
                <w:i/>
                <w:sz w:val="16"/>
                <w:szCs w:val="16"/>
                <w:lang w:val="en-GB"/>
              </w:rPr>
              <w:t xml:space="preserve"> classes: </w:t>
            </w:r>
            <w:r w:rsidR="008E1C4B">
              <w:rPr>
                <w:rFonts w:ascii="Arial" w:eastAsia="Calibri" w:hAnsi="Arial" w:cs="Arial"/>
                <w:sz w:val="16"/>
                <w:szCs w:val="16"/>
                <w:lang w:val="en-GB"/>
              </w:rPr>
              <w:t>Introductio</w:t>
            </w:r>
            <w:r w:rsidR="007D59B4">
              <w:rPr>
                <w:rFonts w:ascii="Arial" w:eastAsia="Calibri" w:hAnsi="Arial" w:cs="Arial"/>
                <w:sz w:val="16"/>
                <w:szCs w:val="16"/>
                <w:lang w:val="en-GB"/>
              </w:rPr>
              <w:t>n to the instrumental laboratory</w:t>
            </w:r>
            <w:r w:rsidR="008E1C4B">
              <w:rPr>
                <w:rFonts w:ascii="Arial" w:eastAsia="Calibri" w:hAnsi="Arial" w:cs="Arial"/>
                <w:sz w:val="16"/>
                <w:szCs w:val="16"/>
                <w:lang w:val="en-GB"/>
              </w:rPr>
              <w:t xml:space="preserve"> techniques: </w:t>
            </w:r>
            <w:r w:rsidR="008E1C4B" w:rsidRPr="008E1C4B">
              <w:rPr>
                <w:rFonts w:ascii="Arial" w:eastAsia="Calibri" w:hAnsi="Arial" w:cs="Arial"/>
                <w:sz w:val="16"/>
                <w:szCs w:val="16"/>
                <w:lang w:val="en-GB"/>
              </w:rPr>
              <w:t>spectrophotometry</w:t>
            </w:r>
            <w:r w:rsidR="008E1C4B">
              <w:rPr>
                <w:rFonts w:ascii="Arial" w:eastAsia="Calibri" w:hAnsi="Arial" w:cs="Arial"/>
                <w:sz w:val="16"/>
                <w:szCs w:val="16"/>
                <w:lang w:val="en-GB"/>
              </w:rPr>
              <w:t>, chromatography (TLC, HPLC and GC). Determination of C vitamin in vegetables and fruit, isolation and identificatio</w:t>
            </w:r>
            <w:bookmarkStart w:id="0" w:name="_GoBack"/>
            <w:bookmarkEnd w:id="0"/>
            <w:r w:rsidR="008E1C4B">
              <w:rPr>
                <w:rFonts w:ascii="Arial" w:eastAsia="Calibri" w:hAnsi="Arial" w:cs="Arial"/>
                <w:sz w:val="16"/>
                <w:szCs w:val="16"/>
                <w:lang w:val="en-GB"/>
              </w:rPr>
              <w:t xml:space="preserve">n </w:t>
            </w:r>
            <w:r w:rsidR="00052933">
              <w:rPr>
                <w:rFonts w:ascii="Arial" w:eastAsia="Calibri" w:hAnsi="Arial" w:cs="Arial"/>
                <w:sz w:val="16"/>
                <w:szCs w:val="16"/>
                <w:lang w:val="en-GB"/>
              </w:rPr>
              <w:t xml:space="preserve">of </w:t>
            </w:r>
            <w:r w:rsidR="008E1C4B">
              <w:rPr>
                <w:rFonts w:ascii="Arial" w:eastAsia="Calibri" w:hAnsi="Arial" w:cs="Arial"/>
                <w:sz w:val="16"/>
                <w:szCs w:val="16"/>
                <w:lang w:val="en-GB"/>
              </w:rPr>
              <w:t xml:space="preserve">plant pigments, sugars and proteins. Introduction </w:t>
            </w:r>
            <w:r w:rsidR="007D59B4">
              <w:rPr>
                <w:rFonts w:ascii="Arial" w:eastAsia="Calibri" w:hAnsi="Arial" w:cs="Arial"/>
                <w:sz w:val="16"/>
                <w:szCs w:val="16"/>
                <w:lang w:val="en-GB"/>
              </w:rPr>
              <w:t>to</w:t>
            </w:r>
            <w:r w:rsidR="008E1C4B">
              <w:rPr>
                <w:rFonts w:ascii="Arial" w:eastAsia="Calibri" w:hAnsi="Arial" w:cs="Arial"/>
                <w:sz w:val="16"/>
                <w:szCs w:val="16"/>
                <w:lang w:val="en-GB"/>
              </w:rPr>
              <w:t xml:space="preserve"> the biocristalization method. </w:t>
            </w:r>
            <w:r w:rsidR="008E1C4B" w:rsidRPr="007D59B4">
              <w:rPr>
                <w:rFonts w:ascii="Arial" w:eastAsia="Calibri" w:hAnsi="Arial" w:cs="Arial"/>
                <w:sz w:val="16"/>
                <w:szCs w:val="16"/>
                <w:lang w:val="en-GB"/>
              </w:rPr>
              <w:t>Determination</w:t>
            </w:r>
            <w:r w:rsidR="007D59B4" w:rsidRPr="007D59B4">
              <w:rPr>
                <w:rFonts w:ascii="Arial" w:hAnsi="Arial" w:cs="Arial"/>
                <w:sz w:val="16"/>
                <w:szCs w:val="16"/>
              </w:rPr>
              <w:t xml:space="preserve">of meat </w:t>
            </w:r>
            <w:r w:rsidR="008E1C4B" w:rsidRPr="007D59B4">
              <w:rPr>
                <w:rFonts w:ascii="Arial" w:eastAsia="Calibri" w:hAnsi="Arial" w:cs="Arial"/>
                <w:sz w:val="16"/>
                <w:szCs w:val="16"/>
                <w:lang w:val="en-GB"/>
              </w:rPr>
              <w:t>water</w:t>
            </w:r>
            <w:r w:rsidR="008E1C4B" w:rsidRPr="008E1C4B">
              <w:rPr>
                <w:rFonts w:ascii="Arial" w:eastAsia="Calibri" w:hAnsi="Arial" w:cs="Arial"/>
                <w:sz w:val="16"/>
                <w:szCs w:val="16"/>
                <w:lang w:val="en-GB"/>
              </w:rPr>
              <w:t xml:space="preserve"> binding capacity</w:t>
            </w:r>
            <w:r w:rsidR="007D59B4">
              <w:rPr>
                <w:rFonts w:ascii="Arial" w:eastAsia="Calibri" w:hAnsi="Arial" w:cs="Arial"/>
                <w:sz w:val="16"/>
                <w:szCs w:val="16"/>
                <w:lang w:val="en-GB"/>
              </w:rPr>
              <w:t>.</w:t>
            </w:r>
            <w:r w:rsidR="008E1C4B">
              <w:rPr>
                <w:rFonts w:ascii="Arial" w:eastAsia="Calibri" w:hAnsi="Arial" w:cs="Arial"/>
                <w:sz w:val="16"/>
                <w:szCs w:val="16"/>
                <w:lang w:val="en-GB"/>
              </w:rPr>
              <w:t xml:space="preserve"> Lipids, determination of total lipids, determination of lipid soluble vitamins.</w:t>
            </w:r>
            <w:r w:rsidR="00052933">
              <w:rPr>
                <w:rFonts w:ascii="Arial" w:eastAsia="Calibri" w:hAnsi="Arial" w:cs="Arial"/>
                <w:sz w:val="16"/>
                <w:szCs w:val="16"/>
                <w:lang w:val="en-GB"/>
              </w:rPr>
              <w:t xml:space="preserve"> Glycogen determination in meat.Foodstuff colour, determination of total pigments, determination of meat colour. </w:t>
            </w:r>
            <w:r w:rsidR="00C5623C">
              <w:rPr>
                <w:rFonts w:ascii="Arial" w:eastAsia="Calibri" w:hAnsi="Arial" w:cs="Arial"/>
                <w:sz w:val="16"/>
                <w:szCs w:val="16"/>
                <w:lang w:val="en-GB"/>
              </w:rPr>
              <w:t xml:space="preserve"> Honey quality</w:t>
            </w:r>
            <w:r w:rsidR="00052933">
              <w:rPr>
                <w:rFonts w:ascii="Arial" w:eastAsia="Calibri" w:hAnsi="Arial" w:cs="Arial"/>
                <w:sz w:val="16"/>
                <w:szCs w:val="16"/>
                <w:lang w:val="en-GB"/>
              </w:rPr>
              <w:t>, determination of HMF. Toxicological foodstuff quality, mycotoxins and heavy metals determination.</w:t>
            </w:r>
          </w:p>
        </w:tc>
      </w:tr>
      <w:tr w:rsidR="005E42D1" w:rsidTr="005E42D1">
        <w:tc>
          <w:tcPr>
            <w:tcW w:w="9622" w:type="dxa"/>
            <w:gridSpan w:val="12"/>
            <w:tcBorders>
              <w:bottom w:val="single" w:sz="4" w:space="0" w:color="auto"/>
            </w:tcBorders>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052933" w:rsidRDefault="00DA5A67" w:rsidP="00C5623C">
            <w:pPr>
              <w:pStyle w:val="ListParagraph"/>
              <w:ind w:left="284"/>
              <w:jc w:val="both"/>
              <w:rPr>
                <w:rFonts w:ascii="Arial" w:eastAsia="Calibri" w:hAnsi="Arial" w:cs="Arial"/>
                <w:sz w:val="16"/>
                <w:szCs w:val="16"/>
                <w:lang w:val="en-GB"/>
              </w:rPr>
            </w:pPr>
            <w:r w:rsidRPr="00052933">
              <w:rPr>
                <w:rFonts w:ascii="Arial" w:eastAsia="Calibri" w:hAnsi="Arial" w:cs="Arial"/>
                <w:sz w:val="16"/>
                <w:szCs w:val="16"/>
                <w:lang w:val="en-GB"/>
              </w:rPr>
              <w:t>The theo</w:t>
            </w:r>
            <w:r w:rsidR="00C5623C">
              <w:rPr>
                <w:rFonts w:ascii="Arial" w:eastAsia="Calibri" w:hAnsi="Arial" w:cs="Arial"/>
                <w:sz w:val="16"/>
                <w:szCs w:val="16"/>
                <w:lang w:val="en-GB"/>
              </w:rPr>
              <w:t>retical classes are conducted through</w:t>
            </w:r>
            <w:r w:rsidRPr="00052933">
              <w:rPr>
                <w:rFonts w:ascii="Arial" w:eastAsia="Calibri" w:hAnsi="Arial" w:cs="Arial"/>
                <w:sz w:val="16"/>
                <w:szCs w:val="16"/>
                <w:lang w:val="en-GB"/>
              </w:rPr>
              <w:t xml:space="preserve"> lessons, presentations and other didactic tools. Practical classes concern individual student work and demonstrative/illustrative methods.</w:t>
            </w:r>
            <w:r w:rsidR="00052933" w:rsidRPr="00052933">
              <w:rPr>
                <w:rFonts w:ascii="Helvetica" w:hAnsi="Helvetica" w:cs="Helvetica"/>
                <w:sz w:val="15"/>
                <w:szCs w:val="15"/>
                <w:shd w:val="clear" w:color="auto" w:fill="FFFFFF"/>
              </w:rPr>
              <w:t>Class discussion conducted by teacher</w:t>
            </w:r>
            <w:r w:rsidR="00052933" w:rsidRPr="00052933">
              <w:rPr>
                <w:rFonts w:ascii="Arial" w:eastAsia="Calibri" w:hAnsi="Arial" w:cs="Arial"/>
                <w:sz w:val="16"/>
                <w:szCs w:val="16"/>
                <w:lang w:val="en-GB"/>
              </w:rPr>
              <w:t xml:space="preserve">. </w:t>
            </w:r>
            <w:r w:rsidR="00C5623C">
              <w:rPr>
                <w:rFonts w:ascii="Arial" w:eastAsia="Calibri" w:hAnsi="Arial" w:cs="Arial"/>
                <w:sz w:val="16"/>
                <w:szCs w:val="16"/>
                <w:lang w:val="en-GB"/>
              </w:rPr>
              <w:t>P</w:t>
            </w:r>
            <w:r w:rsidRPr="00052933">
              <w:rPr>
                <w:rFonts w:ascii="Arial" w:eastAsia="Calibri" w:hAnsi="Arial" w:cs="Arial"/>
                <w:sz w:val="16"/>
                <w:szCs w:val="16"/>
                <w:lang w:val="en-GB"/>
              </w:rPr>
              <w:t>ractical knowledge</w:t>
            </w:r>
            <w:r w:rsidR="00C5623C">
              <w:rPr>
                <w:rFonts w:ascii="Arial" w:eastAsia="Calibri" w:hAnsi="Arial" w:cs="Arial"/>
                <w:sz w:val="16"/>
                <w:szCs w:val="16"/>
                <w:lang w:val="en-GB"/>
              </w:rPr>
              <w:t xml:space="preserve"> testing</w:t>
            </w:r>
            <w:r w:rsidRPr="00052933">
              <w:rPr>
                <w:rFonts w:ascii="Arial" w:eastAsia="Calibri" w:hAnsi="Arial" w:cs="Arial"/>
                <w:sz w:val="16"/>
                <w:szCs w:val="16"/>
                <w:lang w:val="en-GB"/>
              </w:rPr>
              <w:t>. Consultations related to theoretical/ practical lessons</w:t>
            </w:r>
            <w:r w:rsidR="00052933" w:rsidRPr="00052933">
              <w:rPr>
                <w:rFonts w:ascii="Arial" w:eastAsia="Calibri" w:hAnsi="Arial" w:cs="Arial"/>
                <w:sz w:val="16"/>
                <w:szCs w:val="16"/>
                <w:lang w:val="en-GB"/>
              </w:rPr>
              <w:t>.</w:t>
            </w:r>
          </w:p>
        </w:tc>
      </w:tr>
      <w:tr w:rsidR="005E42D1" w:rsidTr="005E42D1">
        <w:tc>
          <w:tcPr>
            <w:tcW w:w="9622" w:type="dxa"/>
            <w:gridSpan w:val="12"/>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786A08">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53EF" w:rsidTr="00D02E1F">
        <w:tc>
          <w:tcPr>
            <w:tcW w:w="2376" w:type="dxa"/>
            <w:gridSpan w:val="3"/>
            <w:shd w:val="clear" w:color="auto" w:fill="auto"/>
            <w:vAlign w:val="center"/>
          </w:tcPr>
          <w:p w:rsidR="005E53EF" w:rsidRPr="00C21CE9" w:rsidRDefault="009E0166" w:rsidP="005E53EF">
            <w:pPr>
              <w:rPr>
                <w:sz w:val="18"/>
                <w:szCs w:val="18"/>
              </w:rPr>
            </w:pPr>
            <w:r>
              <w:rPr>
                <w:sz w:val="18"/>
                <w:szCs w:val="18"/>
              </w:rPr>
              <w:t>Practical classes</w:t>
            </w:r>
          </w:p>
        </w:tc>
        <w:tc>
          <w:tcPr>
            <w:tcW w:w="1134" w:type="dxa"/>
            <w:shd w:val="clear" w:color="auto" w:fill="auto"/>
            <w:vAlign w:val="center"/>
          </w:tcPr>
          <w:p w:rsidR="005E53EF" w:rsidRDefault="005E53EF" w:rsidP="005E53EF">
            <w:pPr>
              <w:jc w:val="center"/>
            </w:pPr>
            <w:r w:rsidRPr="00DD00BD">
              <w:rPr>
                <w:rFonts w:ascii="Arial" w:hAnsi="Arial" w:cs="Arial"/>
                <w:sz w:val="16"/>
                <w:szCs w:val="16"/>
              </w:rPr>
              <w:t>Yes</w:t>
            </w:r>
          </w:p>
        </w:tc>
        <w:tc>
          <w:tcPr>
            <w:tcW w:w="1301" w:type="dxa"/>
            <w:gridSpan w:val="2"/>
            <w:shd w:val="clear" w:color="auto" w:fill="auto"/>
            <w:vAlign w:val="center"/>
          </w:tcPr>
          <w:p w:rsidR="005E53EF" w:rsidRPr="005E42D1" w:rsidRDefault="009E0166" w:rsidP="005E53EF">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53EF" w:rsidRPr="002016BB" w:rsidRDefault="005E53EF" w:rsidP="005E53EF">
            <w:pPr>
              <w:jc w:val="center"/>
              <w:rPr>
                <w:rFonts w:ascii="Arial" w:hAnsi="Arial" w:cs="Arial"/>
                <w:sz w:val="14"/>
                <w:szCs w:val="14"/>
              </w:rPr>
            </w:pPr>
            <w:r w:rsidRPr="002016BB">
              <w:rPr>
                <w:rFonts w:ascii="Arial" w:hAnsi="Arial" w:cs="Arial"/>
                <w:sz w:val="16"/>
                <w:szCs w:val="16"/>
              </w:rPr>
              <w:t>Oral part of the exam</w:t>
            </w:r>
          </w:p>
        </w:tc>
        <w:tc>
          <w:tcPr>
            <w:tcW w:w="1134" w:type="dxa"/>
            <w:gridSpan w:val="2"/>
            <w:shd w:val="clear" w:color="auto" w:fill="auto"/>
            <w:vAlign w:val="center"/>
          </w:tcPr>
          <w:p w:rsidR="005E53EF" w:rsidRPr="002016BB" w:rsidRDefault="005E53EF" w:rsidP="005E53EF">
            <w:pPr>
              <w:rPr>
                <w:rFonts w:ascii="Arial" w:hAnsi="Arial" w:cs="Arial"/>
                <w:sz w:val="16"/>
                <w:szCs w:val="16"/>
              </w:rPr>
            </w:pPr>
            <w:r w:rsidRPr="002016BB">
              <w:rPr>
                <w:rFonts w:ascii="Arial" w:hAnsi="Arial" w:cs="Arial"/>
                <w:sz w:val="16"/>
                <w:szCs w:val="16"/>
              </w:rPr>
              <w:t>Yes</w:t>
            </w:r>
          </w:p>
        </w:tc>
        <w:tc>
          <w:tcPr>
            <w:tcW w:w="1150" w:type="dxa"/>
            <w:gridSpan w:val="2"/>
            <w:shd w:val="clear" w:color="auto" w:fill="auto"/>
            <w:vAlign w:val="center"/>
          </w:tcPr>
          <w:p w:rsidR="005E53EF" w:rsidRPr="005E42D1" w:rsidRDefault="009E0166" w:rsidP="005E53EF">
            <w:pPr>
              <w:jc w:val="center"/>
              <w:rPr>
                <w:rFonts w:ascii="Arial" w:hAnsi="Arial" w:cs="Arial"/>
                <w:sz w:val="16"/>
                <w:szCs w:val="16"/>
              </w:rPr>
            </w:pPr>
            <w:r>
              <w:rPr>
                <w:rFonts w:ascii="Arial" w:hAnsi="Arial" w:cs="Arial"/>
                <w:sz w:val="16"/>
                <w:szCs w:val="16"/>
              </w:rPr>
              <w:t>5</w:t>
            </w:r>
            <w:r w:rsidR="005E53EF">
              <w:rPr>
                <w:rFonts w:ascii="Arial" w:hAnsi="Arial" w:cs="Arial"/>
                <w:sz w:val="16"/>
                <w:szCs w:val="16"/>
              </w:rPr>
              <w:t>0</w:t>
            </w:r>
          </w:p>
        </w:tc>
      </w:tr>
      <w:tr w:rsidR="00D02E1F" w:rsidTr="009E0166">
        <w:tc>
          <w:tcPr>
            <w:tcW w:w="2376" w:type="dxa"/>
            <w:gridSpan w:val="3"/>
            <w:shd w:val="clear" w:color="auto" w:fill="auto"/>
            <w:vAlign w:val="center"/>
          </w:tcPr>
          <w:p w:rsidR="00D02E1F" w:rsidRPr="00C21CE9" w:rsidRDefault="009E0166" w:rsidP="00C5623C">
            <w:pPr>
              <w:rPr>
                <w:sz w:val="18"/>
                <w:szCs w:val="18"/>
              </w:rPr>
            </w:pPr>
            <w:r>
              <w:rPr>
                <w:sz w:val="18"/>
                <w:szCs w:val="18"/>
              </w:rPr>
              <w:t xml:space="preserve">Activities </w:t>
            </w:r>
            <w:r w:rsidR="00C5623C">
              <w:rPr>
                <w:sz w:val="18"/>
                <w:szCs w:val="18"/>
              </w:rPr>
              <w:t>in</w:t>
            </w:r>
            <w:r>
              <w:rPr>
                <w:sz w:val="18"/>
                <w:szCs w:val="18"/>
              </w:rPr>
              <w:t xml:space="preserve"> classes</w:t>
            </w:r>
          </w:p>
        </w:tc>
        <w:tc>
          <w:tcPr>
            <w:tcW w:w="1134" w:type="dxa"/>
            <w:shd w:val="clear" w:color="auto" w:fill="auto"/>
            <w:vAlign w:val="center"/>
          </w:tcPr>
          <w:p w:rsidR="00D02E1F" w:rsidRDefault="009E0166" w:rsidP="005E53EF">
            <w:pPr>
              <w:jc w:val="center"/>
            </w:pPr>
            <w:r>
              <w:rPr>
                <w:rFonts w:ascii="Arial" w:hAnsi="Arial" w:cs="Arial"/>
                <w:sz w:val="16"/>
                <w:szCs w:val="16"/>
              </w:rPr>
              <w:t>No</w:t>
            </w:r>
          </w:p>
        </w:tc>
        <w:tc>
          <w:tcPr>
            <w:tcW w:w="1301" w:type="dxa"/>
            <w:gridSpan w:val="2"/>
            <w:shd w:val="clear" w:color="auto" w:fill="auto"/>
            <w:vAlign w:val="center"/>
          </w:tcPr>
          <w:p w:rsidR="00D02E1F" w:rsidRPr="005E42D1" w:rsidRDefault="009E0166" w:rsidP="009E0166">
            <w:pPr>
              <w:jc w:val="center"/>
              <w:rPr>
                <w:rFonts w:ascii="Arial" w:hAnsi="Arial" w:cs="Arial"/>
                <w:sz w:val="16"/>
                <w:szCs w:val="16"/>
              </w:rPr>
            </w:pPr>
            <w:r>
              <w:rPr>
                <w:rFonts w:ascii="Arial" w:hAnsi="Arial" w:cs="Arial"/>
                <w:sz w:val="16"/>
                <w:szCs w:val="16"/>
              </w:rPr>
              <w:t>5</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9E0166">
        <w:tc>
          <w:tcPr>
            <w:tcW w:w="2376" w:type="dxa"/>
            <w:gridSpan w:val="3"/>
            <w:shd w:val="clear" w:color="auto" w:fill="auto"/>
            <w:vAlign w:val="center"/>
          </w:tcPr>
          <w:p w:rsidR="00D02E1F" w:rsidRPr="00C21CE9" w:rsidRDefault="009E0166" w:rsidP="00D02E1F">
            <w:pPr>
              <w:rPr>
                <w:sz w:val="18"/>
                <w:szCs w:val="18"/>
              </w:rPr>
            </w:pPr>
            <w:r>
              <w:rPr>
                <w:sz w:val="18"/>
                <w:szCs w:val="18"/>
              </w:rPr>
              <w:t>Tests</w:t>
            </w:r>
          </w:p>
        </w:tc>
        <w:tc>
          <w:tcPr>
            <w:tcW w:w="1134" w:type="dxa"/>
            <w:shd w:val="clear" w:color="auto" w:fill="auto"/>
            <w:vAlign w:val="center"/>
          </w:tcPr>
          <w:p w:rsidR="00D02E1F" w:rsidRDefault="00D02E1F" w:rsidP="005E53E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9E0166" w:rsidP="005E42D1">
            <w:pPr>
              <w:jc w:val="center"/>
              <w:rPr>
                <w:rFonts w:ascii="Arial" w:hAnsi="Arial" w:cs="Arial"/>
                <w:sz w:val="16"/>
                <w:szCs w:val="16"/>
              </w:rPr>
            </w:pPr>
            <w:r>
              <w:rPr>
                <w:rFonts w:ascii="Arial" w:hAnsi="Arial" w:cs="Arial"/>
                <w:sz w:val="16"/>
                <w:szCs w:val="16"/>
              </w:rPr>
              <w:t>40</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2"/>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9A05C9">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944" w:type="dxa"/>
            <w:gridSpan w:val="5"/>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867"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53EF" w:rsidTr="009A05C9">
        <w:tc>
          <w:tcPr>
            <w:tcW w:w="675" w:type="dxa"/>
            <w:vAlign w:val="center"/>
          </w:tcPr>
          <w:p w:rsidR="005E53EF" w:rsidRPr="00786A08" w:rsidRDefault="005E53EF" w:rsidP="00786A08">
            <w:pPr>
              <w:pStyle w:val="ListParagraph"/>
              <w:numPr>
                <w:ilvl w:val="0"/>
                <w:numId w:val="4"/>
              </w:numPr>
              <w:tabs>
                <w:tab w:val="left" w:pos="322"/>
              </w:tabs>
              <w:rPr>
                <w:rFonts w:ascii="Arial" w:hAnsi="Arial" w:cs="Arial"/>
                <w:sz w:val="14"/>
                <w:szCs w:val="14"/>
              </w:rPr>
            </w:pPr>
          </w:p>
        </w:tc>
        <w:tc>
          <w:tcPr>
            <w:tcW w:w="1701" w:type="dxa"/>
            <w:gridSpan w:val="2"/>
            <w:vAlign w:val="center"/>
          </w:tcPr>
          <w:p w:rsidR="005E53EF" w:rsidRPr="00786A08" w:rsidRDefault="007B07B8" w:rsidP="009A05C9">
            <w:pPr>
              <w:rPr>
                <w:rFonts w:ascii="Arial" w:hAnsi="Arial" w:cs="Arial"/>
                <w:sz w:val="14"/>
                <w:szCs w:val="14"/>
              </w:rPr>
            </w:pPr>
            <w:r>
              <w:rPr>
                <w:rFonts w:ascii="Arial" w:eastAsia="Calibri" w:hAnsi="Arial" w:cs="Arial"/>
                <w:sz w:val="14"/>
                <w:szCs w:val="14"/>
              </w:rPr>
              <w:t>Lazić B., Babović D.</w:t>
            </w:r>
          </w:p>
        </w:tc>
        <w:tc>
          <w:tcPr>
            <w:tcW w:w="2435" w:type="dxa"/>
            <w:gridSpan w:val="3"/>
            <w:vAlign w:val="center"/>
          </w:tcPr>
          <w:p w:rsidR="005E53EF" w:rsidRPr="00786A08" w:rsidRDefault="007B07B8" w:rsidP="009A05C9">
            <w:pPr>
              <w:rPr>
                <w:rFonts w:ascii="Arial" w:hAnsi="Arial" w:cs="Arial"/>
                <w:sz w:val="14"/>
                <w:szCs w:val="14"/>
              </w:rPr>
            </w:pPr>
            <w:r>
              <w:rPr>
                <w:rFonts w:ascii="Arial" w:hAnsi="Arial" w:cs="Arial"/>
                <w:sz w:val="14"/>
                <w:szCs w:val="14"/>
              </w:rPr>
              <w:t>Organskapoljoprivreda</w:t>
            </w:r>
          </w:p>
        </w:tc>
        <w:tc>
          <w:tcPr>
            <w:tcW w:w="3944" w:type="dxa"/>
            <w:gridSpan w:val="5"/>
            <w:vAlign w:val="center"/>
          </w:tcPr>
          <w:p w:rsidR="005E53EF" w:rsidRPr="00786A08" w:rsidRDefault="007B07B8" w:rsidP="007B07B8">
            <w:pPr>
              <w:rPr>
                <w:rFonts w:ascii="Arial" w:hAnsi="Arial" w:cs="Arial"/>
                <w:sz w:val="14"/>
                <w:szCs w:val="14"/>
              </w:rPr>
            </w:pPr>
            <w:r>
              <w:rPr>
                <w:rFonts w:ascii="Arial" w:hAnsi="Arial" w:cs="Arial"/>
                <w:sz w:val="14"/>
                <w:szCs w:val="14"/>
              </w:rPr>
              <w:t>Institutzaratarstvo i povrtarstvo, Novi Sad</w:t>
            </w:r>
          </w:p>
        </w:tc>
        <w:tc>
          <w:tcPr>
            <w:tcW w:w="867" w:type="dxa"/>
            <w:vAlign w:val="center"/>
          </w:tcPr>
          <w:p w:rsidR="005E53EF" w:rsidRPr="00786A08" w:rsidRDefault="005E53EF" w:rsidP="009A05C9">
            <w:pPr>
              <w:rPr>
                <w:rFonts w:ascii="Arial" w:hAnsi="Arial" w:cs="Arial"/>
                <w:sz w:val="14"/>
                <w:szCs w:val="14"/>
              </w:rPr>
            </w:pPr>
            <w:r w:rsidRPr="00786A08">
              <w:rPr>
                <w:rFonts w:ascii="Arial" w:hAnsi="Arial" w:cs="Arial"/>
                <w:sz w:val="14"/>
                <w:szCs w:val="14"/>
              </w:rPr>
              <w:t>200</w:t>
            </w:r>
            <w:r w:rsidR="007B07B8">
              <w:rPr>
                <w:rFonts w:ascii="Arial" w:hAnsi="Arial" w:cs="Arial"/>
                <w:sz w:val="14"/>
                <w:szCs w:val="14"/>
              </w:rPr>
              <w:t>8</w:t>
            </w:r>
          </w:p>
        </w:tc>
      </w:tr>
      <w:tr w:rsidR="005E53EF" w:rsidTr="009A05C9">
        <w:tc>
          <w:tcPr>
            <w:tcW w:w="675" w:type="dxa"/>
            <w:vAlign w:val="center"/>
          </w:tcPr>
          <w:p w:rsidR="005E53EF" w:rsidRPr="00786A08" w:rsidRDefault="005E53EF" w:rsidP="00786A08">
            <w:pPr>
              <w:pStyle w:val="ListParagraph"/>
              <w:numPr>
                <w:ilvl w:val="0"/>
                <w:numId w:val="4"/>
              </w:numPr>
              <w:tabs>
                <w:tab w:val="left" w:pos="322"/>
              </w:tabs>
              <w:rPr>
                <w:rFonts w:ascii="Arial" w:hAnsi="Arial" w:cs="Arial"/>
                <w:sz w:val="14"/>
                <w:szCs w:val="14"/>
              </w:rPr>
            </w:pPr>
          </w:p>
        </w:tc>
        <w:tc>
          <w:tcPr>
            <w:tcW w:w="1701" w:type="dxa"/>
            <w:gridSpan w:val="2"/>
            <w:vAlign w:val="center"/>
          </w:tcPr>
          <w:p w:rsidR="005E53EF" w:rsidRPr="00786A08" w:rsidRDefault="007B07B8" w:rsidP="009A05C9">
            <w:pPr>
              <w:rPr>
                <w:rFonts w:ascii="Arial" w:hAnsi="Arial" w:cs="Arial"/>
                <w:sz w:val="14"/>
                <w:szCs w:val="14"/>
              </w:rPr>
            </w:pPr>
            <w:r>
              <w:rPr>
                <w:rFonts w:ascii="Arial" w:hAnsi="Arial" w:cs="Arial"/>
                <w:sz w:val="14"/>
                <w:szCs w:val="14"/>
              </w:rPr>
              <w:t>Budimka N, Mirosavljev M.</w:t>
            </w:r>
          </w:p>
        </w:tc>
        <w:tc>
          <w:tcPr>
            <w:tcW w:w="2435" w:type="dxa"/>
            <w:gridSpan w:val="3"/>
            <w:vAlign w:val="center"/>
          </w:tcPr>
          <w:p w:rsidR="005E53EF" w:rsidRPr="00786A08" w:rsidRDefault="007B07B8" w:rsidP="009A05C9">
            <w:pPr>
              <w:rPr>
                <w:rFonts w:ascii="Arial" w:hAnsi="Arial" w:cs="Arial"/>
                <w:sz w:val="14"/>
                <w:szCs w:val="14"/>
              </w:rPr>
            </w:pPr>
            <w:r>
              <w:rPr>
                <w:rFonts w:ascii="Arial" w:hAnsi="Arial" w:cs="Arial"/>
                <w:sz w:val="14"/>
                <w:szCs w:val="14"/>
              </w:rPr>
              <w:t>Higijenahrane</w:t>
            </w:r>
          </w:p>
        </w:tc>
        <w:tc>
          <w:tcPr>
            <w:tcW w:w="3944" w:type="dxa"/>
            <w:gridSpan w:val="5"/>
            <w:vAlign w:val="center"/>
          </w:tcPr>
          <w:p w:rsidR="005E53EF" w:rsidRPr="00786A08" w:rsidRDefault="007B07B8" w:rsidP="007B07B8">
            <w:pPr>
              <w:rPr>
                <w:rFonts w:ascii="Arial" w:hAnsi="Arial" w:cs="Arial"/>
                <w:sz w:val="14"/>
                <w:szCs w:val="14"/>
              </w:rPr>
            </w:pPr>
            <w:r>
              <w:rPr>
                <w:rFonts w:ascii="Arial" w:hAnsi="Arial" w:cs="Arial"/>
                <w:sz w:val="14"/>
                <w:szCs w:val="14"/>
              </w:rPr>
              <w:t>Medicinskifakultet, Univerzitet u NovomSadu</w:t>
            </w:r>
          </w:p>
        </w:tc>
        <w:tc>
          <w:tcPr>
            <w:tcW w:w="867" w:type="dxa"/>
            <w:vAlign w:val="center"/>
          </w:tcPr>
          <w:p w:rsidR="005E53EF" w:rsidRPr="00786A08" w:rsidRDefault="005E53EF" w:rsidP="009A05C9">
            <w:pPr>
              <w:rPr>
                <w:rFonts w:ascii="Arial" w:hAnsi="Arial" w:cs="Arial"/>
                <w:sz w:val="14"/>
                <w:szCs w:val="14"/>
              </w:rPr>
            </w:pPr>
            <w:r w:rsidRPr="00786A08">
              <w:rPr>
                <w:rFonts w:ascii="Arial" w:hAnsi="Arial" w:cs="Arial"/>
                <w:sz w:val="14"/>
                <w:szCs w:val="14"/>
              </w:rPr>
              <w:t>200</w:t>
            </w:r>
            <w:r w:rsidR="007B07B8">
              <w:rPr>
                <w:rFonts w:ascii="Arial" w:hAnsi="Arial" w:cs="Arial"/>
                <w:sz w:val="14"/>
                <w:szCs w:val="14"/>
              </w:rPr>
              <w:t>5</w:t>
            </w:r>
          </w:p>
        </w:tc>
      </w:tr>
      <w:tr w:rsidR="005E53EF" w:rsidTr="009A05C9">
        <w:tc>
          <w:tcPr>
            <w:tcW w:w="675" w:type="dxa"/>
            <w:vAlign w:val="center"/>
          </w:tcPr>
          <w:p w:rsidR="005E53EF" w:rsidRPr="00786A08" w:rsidRDefault="005E53EF" w:rsidP="00786A08">
            <w:pPr>
              <w:pStyle w:val="ListParagraph"/>
              <w:numPr>
                <w:ilvl w:val="0"/>
                <w:numId w:val="4"/>
              </w:numPr>
              <w:tabs>
                <w:tab w:val="left" w:pos="322"/>
              </w:tabs>
              <w:rPr>
                <w:rFonts w:ascii="Arial" w:hAnsi="Arial" w:cs="Arial"/>
                <w:sz w:val="14"/>
                <w:szCs w:val="14"/>
              </w:rPr>
            </w:pPr>
          </w:p>
        </w:tc>
        <w:tc>
          <w:tcPr>
            <w:tcW w:w="1701" w:type="dxa"/>
            <w:gridSpan w:val="2"/>
            <w:vAlign w:val="center"/>
          </w:tcPr>
          <w:p w:rsidR="005E53EF" w:rsidRPr="00786A08" w:rsidRDefault="007B07B8" w:rsidP="009A05C9">
            <w:pPr>
              <w:rPr>
                <w:rFonts w:ascii="Arial" w:hAnsi="Arial" w:cs="Arial"/>
                <w:sz w:val="14"/>
                <w:szCs w:val="14"/>
              </w:rPr>
            </w:pPr>
            <w:r>
              <w:rPr>
                <w:rFonts w:ascii="Arial" w:hAnsi="Arial" w:cs="Arial"/>
                <w:sz w:val="14"/>
                <w:szCs w:val="14"/>
              </w:rPr>
              <w:t>Pribiš V.</w:t>
            </w:r>
          </w:p>
        </w:tc>
        <w:tc>
          <w:tcPr>
            <w:tcW w:w="2435" w:type="dxa"/>
            <w:gridSpan w:val="3"/>
            <w:vAlign w:val="center"/>
          </w:tcPr>
          <w:p w:rsidR="005E53EF" w:rsidRPr="00786A08" w:rsidRDefault="007B07B8" w:rsidP="009A05C9">
            <w:pPr>
              <w:rPr>
                <w:rFonts w:ascii="Arial" w:hAnsi="Arial" w:cs="Arial"/>
                <w:sz w:val="14"/>
                <w:szCs w:val="14"/>
              </w:rPr>
            </w:pPr>
            <w:r>
              <w:rPr>
                <w:rFonts w:ascii="Arial" w:eastAsia="Calibri" w:hAnsi="Arial" w:cs="Arial"/>
                <w:sz w:val="14"/>
                <w:szCs w:val="14"/>
              </w:rPr>
              <w:t>Nutritivneosobinehrane</w:t>
            </w:r>
          </w:p>
        </w:tc>
        <w:tc>
          <w:tcPr>
            <w:tcW w:w="3944" w:type="dxa"/>
            <w:gridSpan w:val="5"/>
            <w:vAlign w:val="center"/>
          </w:tcPr>
          <w:p w:rsidR="005E53EF" w:rsidRPr="00786A08" w:rsidRDefault="007B07B8" w:rsidP="007B07B8">
            <w:pPr>
              <w:rPr>
                <w:rFonts w:ascii="Arial" w:hAnsi="Arial" w:cs="Arial"/>
                <w:sz w:val="14"/>
                <w:szCs w:val="14"/>
              </w:rPr>
            </w:pPr>
            <w:r>
              <w:rPr>
                <w:rFonts w:ascii="Arial" w:hAnsi="Arial" w:cs="Arial"/>
                <w:sz w:val="14"/>
                <w:szCs w:val="14"/>
              </w:rPr>
              <w:t>Tehnološkifakultet,  Univerzitet u NovomSadu</w:t>
            </w:r>
          </w:p>
        </w:tc>
        <w:tc>
          <w:tcPr>
            <w:tcW w:w="867" w:type="dxa"/>
            <w:vAlign w:val="center"/>
          </w:tcPr>
          <w:p w:rsidR="005E53EF" w:rsidRPr="00786A08" w:rsidRDefault="009E0166" w:rsidP="009A05C9">
            <w:pPr>
              <w:rPr>
                <w:rFonts w:ascii="Arial" w:hAnsi="Arial" w:cs="Arial"/>
                <w:sz w:val="14"/>
                <w:szCs w:val="14"/>
              </w:rPr>
            </w:pPr>
            <w:r>
              <w:rPr>
                <w:rFonts w:ascii="Arial" w:hAnsi="Arial" w:cs="Arial"/>
                <w:sz w:val="14"/>
                <w:szCs w:val="14"/>
              </w:rPr>
              <w:t>1999</w:t>
            </w:r>
          </w:p>
        </w:tc>
      </w:tr>
      <w:tr w:rsidR="009A05C9" w:rsidTr="009A05C9">
        <w:tc>
          <w:tcPr>
            <w:tcW w:w="675" w:type="dxa"/>
            <w:vAlign w:val="center"/>
          </w:tcPr>
          <w:p w:rsidR="009A05C9" w:rsidRPr="00786A08" w:rsidRDefault="009A05C9" w:rsidP="00786A08">
            <w:pPr>
              <w:pStyle w:val="ListParagraph"/>
              <w:numPr>
                <w:ilvl w:val="0"/>
                <w:numId w:val="4"/>
              </w:numPr>
              <w:tabs>
                <w:tab w:val="left" w:pos="322"/>
              </w:tabs>
              <w:rPr>
                <w:rFonts w:ascii="Arial" w:hAnsi="Arial" w:cs="Arial"/>
                <w:sz w:val="14"/>
                <w:szCs w:val="14"/>
              </w:rPr>
            </w:pPr>
          </w:p>
        </w:tc>
        <w:tc>
          <w:tcPr>
            <w:tcW w:w="1701" w:type="dxa"/>
            <w:gridSpan w:val="2"/>
            <w:vAlign w:val="center"/>
          </w:tcPr>
          <w:p w:rsidR="009A05C9" w:rsidRPr="00786A08" w:rsidRDefault="009E0166" w:rsidP="009A05C9">
            <w:pPr>
              <w:rPr>
                <w:rFonts w:ascii="Arial" w:hAnsi="Arial" w:cs="Arial"/>
                <w:sz w:val="14"/>
                <w:szCs w:val="14"/>
              </w:rPr>
            </w:pPr>
            <w:r>
              <w:rPr>
                <w:rFonts w:ascii="Arial" w:hAnsi="Arial" w:cs="Arial"/>
                <w:sz w:val="14"/>
                <w:szCs w:val="14"/>
              </w:rPr>
              <w:t>Tojagić S., Mirilov M.</w:t>
            </w:r>
          </w:p>
        </w:tc>
        <w:tc>
          <w:tcPr>
            <w:tcW w:w="2435" w:type="dxa"/>
            <w:gridSpan w:val="3"/>
            <w:vAlign w:val="center"/>
          </w:tcPr>
          <w:p w:rsidR="009A05C9" w:rsidRPr="00786A08" w:rsidRDefault="009E0166" w:rsidP="009E0166">
            <w:pPr>
              <w:rPr>
                <w:rFonts w:ascii="Arial" w:hAnsi="Arial" w:cs="Arial"/>
                <w:sz w:val="14"/>
                <w:szCs w:val="14"/>
              </w:rPr>
            </w:pPr>
            <w:r>
              <w:rPr>
                <w:rFonts w:ascii="Arial" w:hAnsi="Arial" w:cs="Arial"/>
                <w:sz w:val="14"/>
                <w:szCs w:val="14"/>
              </w:rPr>
              <w:t>Hranaznačaji i tokovi u organizmu</w:t>
            </w:r>
          </w:p>
        </w:tc>
        <w:tc>
          <w:tcPr>
            <w:tcW w:w="3944" w:type="dxa"/>
            <w:gridSpan w:val="5"/>
            <w:vAlign w:val="center"/>
          </w:tcPr>
          <w:p w:rsidR="009A05C9" w:rsidRPr="00786A08" w:rsidRDefault="009E0166" w:rsidP="009A05C9">
            <w:pPr>
              <w:rPr>
                <w:rFonts w:ascii="Arial" w:hAnsi="Arial" w:cs="Arial"/>
                <w:sz w:val="14"/>
                <w:szCs w:val="14"/>
              </w:rPr>
            </w:pPr>
            <w:r>
              <w:rPr>
                <w:rFonts w:ascii="Arial" w:hAnsi="Arial" w:cs="Arial"/>
                <w:sz w:val="14"/>
                <w:szCs w:val="14"/>
              </w:rPr>
              <w:t>Maticasrpska, Novi Sad</w:t>
            </w:r>
          </w:p>
        </w:tc>
        <w:tc>
          <w:tcPr>
            <w:tcW w:w="867" w:type="dxa"/>
            <w:vAlign w:val="center"/>
          </w:tcPr>
          <w:p w:rsidR="009A05C9" w:rsidRPr="00786A08" w:rsidRDefault="009E0166" w:rsidP="009A05C9">
            <w:pPr>
              <w:rPr>
                <w:rFonts w:ascii="Arial" w:hAnsi="Arial" w:cs="Arial"/>
                <w:sz w:val="14"/>
                <w:szCs w:val="14"/>
              </w:rPr>
            </w:pPr>
            <w:r>
              <w:rPr>
                <w:rFonts w:ascii="Arial" w:hAnsi="Arial" w:cs="Arial"/>
                <w:sz w:val="14"/>
                <w:szCs w:val="14"/>
              </w:rPr>
              <w:t>1998</w:t>
            </w:r>
          </w:p>
        </w:tc>
      </w:tr>
      <w:tr w:rsidR="005E53EF" w:rsidTr="009A05C9">
        <w:tc>
          <w:tcPr>
            <w:tcW w:w="675" w:type="dxa"/>
            <w:vAlign w:val="center"/>
          </w:tcPr>
          <w:p w:rsidR="005E53EF" w:rsidRPr="00786A08" w:rsidRDefault="005E53EF" w:rsidP="00786A08">
            <w:pPr>
              <w:pStyle w:val="ListParagraph"/>
              <w:numPr>
                <w:ilvl w:val="0"/>
                <w:numId w:val="4"/>
              </w:numPr>
              <w:tabs>
                <w:tab w:val="left" w:pos="322"/>
              </w:tabs>
              <w:rPr>
                <w:rFonts w:ascii="Arial" w:hAnsi="Arial" w:cs="Arial"/>
                <w:sz w:val="14"/>
                <w:szCs w:val="14"/>
              </w:rPr>
            </w:pPr>
          </w:p>
        </w:tc>
        <w:tc>
          <w:tcPr>
            <w:tcW w:w="1701" w:type="dxa"/>
            <w:gridSpan w:val="2"/>
            <w:vAlign w:val="center"/>
          </w:tcPr>
          <w:p w:rsidR="005E53EF" w:rsidRPr="00786A08" w:rsidRDefault="009E0166" w:rsidP="009A05C9">
            <w:pPr>
              <w:rPr>
                <w:rFonts w:ascii="Arial" w:hAnsi="Arial" w:cs="Arial"/>
                <w:sz w:val="14"/>
                <w:szCs w:val="14"/>
              </w:rPr>
            </w:pPr>
            <w:r>
              <w:rPr>
                <w:rFonts w:ascii="Arial" w:hAnsi="Arial" w:cs="Arial"/>
                <w:sz w:val="14"/>
                <w:szCs w:val="14"/>
              </w:rPr>
              <w:t>Rade R., PetrovićLj.</w:t>
            </w:r>
          </w:p>
        </w:tc>
        <w:tc>
          <w:tcPr>
            <w:tcW w:w="2435" w:type="dxa"/>
            <w:gridSpan w:val="3"/>
            <w:vAlign w:val="center"/>
          </w:tcPr>
          <w:p w:rsidR="005E53EF" w:rsidRPr="00786A08" w:rsidRDefault="009E0166" w:rsidP="009E0166">
            <w:pPr>
              <w:rPr>
                <w:rFonts w:ascii="Arial" w:hAnsi="Arial" w:cs="Arial"/>
                <w:sz w:val="14"/>
                <w:szCs w:val="14"/>
              </w:rPr>
            </w:pPr>
            <w:r>
              <w:rPr>
                <w:rFonts w:ascii="Arial" w:hAnsi="Arial" w:cs="Arial"/>
                <w:sz w:val="14"/>
                <w:szCs w:val="14"/>
              </w:rPr>
              <w:t>Tehnologija mesa i nauka o mesu</w:t>
            </w:r>
          </w:p>
        </w:tc>
        <w:tc>
          <w:tcPr>
            <w:tcW w:w="3944" w:type="dxa"/>
            <w:gridSpan w:val="5"/>
            <w:vAlign w:val="center"/>
          </w:tcPr>
          <w:p w:rsidR="005E53EF" w:rsidRPr="00786A08" w:rsidRDefault="009E0166" w:rsidP="009A05C9">
            <w:pPr>
              <w:rPr>
                <w:rFonts w:ascii="Arial" w:hAnsi="Arial" w:cs="Arial"/>
                <w:sz w:val="14"/>
                <w:szCs w:val="14"/>
              </w:rPr>
            </w:pPr>
            <w:r>
              <w:rPr>
                <w:rFonts w:ascii="Arial" w:hAnsi="Arial" w:cs="Arial"/>
                <w:sz w:val="14"/>
                <w:szCs w:val="14"/>
              </w:rPr>
              <w:t>Tehnološkifakultet,  Univerzitet u NovomSadu</w:t>
            </w:r>
          </w:p>
        </w:tc>
        <w:tc>
          <w:tcPr>
            <w:tcW w:w="867" w:type="dxa"/>
            <w:vAlign w:val="center"/>
          </w:tcPr>
          <w:p w:rsidR="005E53EF" w:rsidRPr="00786A08" w:rsidRDefault="009E0166" w:rsidP="009A05C9">
            <w:pPr>
              <w:rPr>
                <w:rFonts w:ascii="Arial" w:hAnsi="Arial" w:cs="Arial"/>
                <w:sz w:val="14"/>
                <w:szCs w:val="14"/>
              </w:rPr>
            </w:pPr>
            <w:r>
              <w:rPr>
                <w:rFonts w:ascii="Arial" w:hAnsi="Arial" w:cs="Arial"/>
                <w:sz w:val="14"/>
                <w:szCs w:val="14"/>
              </w:rPr>
              <w:t>1997</w:t>
            </w:r>
          </w:p>
        </w:tc>
      </w:tr>
      <w:tr w:rsidR="005E53EF" w:rsidTr="009A05C9">
        <w:tc>
          <w:tcPr>
            <w:tcW w:w="675" w:type="dxa"/>
            <w:vAlign w:val="center"/>
          </w:tcPr>
          <w:p w:rsidR="005E53EF" w:rsidRPr="00786A08" w:rsidRDefault="005E53EF" w:rsidP="00786A08">
            <w:pPr>
              <w:pStyle w:val="ListParagraph"/>
              <w:numPr>
                <w:ilvl w:val="0"/>
                <w:numId w:val="4"/>
              </w:numPr>
              <w:tabs>
                <w:tab w:val="left" w:pos="322"/>
              </w:tabs>
              <w:rPr>
                <w:rFonts w:ascii="Arial" w:hAnsi="Arial" w:cs="Arial"/>
                <w:sz w:val="14"/>
                <w:szCs w:val="14"/>
              </w:rPr>
            </w:pPr>
          </w:p>
        </w:tc>
        <w:tc>
          <w:tcPr>
            <w:tcW w:w="1701" w:type="dxa"/>
            <w:gridSpan w:val="2"/>
            <w:vAlign w:val="center"/>
          </w:tcPr>
          <w:p w:rsidR="005E53EF" w:rsidRPr="00786A08" w:rsidRDefault="009E0166" w:rsidP="009A05C9">
            <w:pPr>
              <w:rPr>
                <w:rFonts w:ascii="Arial" w:hAnsi="Arial" w:cs="Arial"/>
                <w:sz w:val="14"/>
                <w:szCs w:val="14"/>
              </w:rPr>
            </w:pPr>
            <w:r>
              <w:rPr>
                <w:rFonts w:ascii="Arial" w:hAnsi="Arial" w:cs="Arial"/>
                <w:sz w:val="14"/>
                <w:szCs w:val="14"/>
              </w:rPr>
              <w:t>D'Mello J.P.F. Ed</w:t>
            </w:r>
          </w:p>
        </w:tc>
        <w:tc>
          <w:tcPr>
            <w:tcW w:w="2435" w:type="dxa"/>
            <w:gridSpan w:val="3"/>
            <w:vAlign w:val="center"/>
          </w:tcPr>
          <w:p w:rsidR="005E53EF" w:rsidRPr="00786A08" w:rsidRDefault="009E0166" w:rsidP="009A05C9">
            <w:pPr>
              <w:rPr>
                <w:rFonts w:ascii="Arial" w:hAnsi="Arial" w:cs="Arial"/>
                <w:sz w:val="14"/>
                <w:szCs w:val="14"/>
              </w:rPr>
            </w:pPr>
            <w:r>
              <w:rPr>
                <w:rFonts w:ascii="Arial" w:hAnsi="Arial" w:cs="Arial"/>
                <w:sz w:val="14"/>
                <w:szCs w:val="14"/>
              </w:rPr>
              <w:t>Food safety: Contaminants and Toxins</w:t>
            </w:r>
          </w:p>
        </w:tc>
        <w:tc>
          <w:tcPr>
            <w:tcW w:w="3944" w:type="dxa"/>
            <w:gridSpan w:val="5"/>
            <w:vAlign w:val="center"/>
          </w:tcPr>
          <w:p w:rsidR="005E53EF" w:rsidRPr="00786A08" w:rsidRDefault="009E0166" w:rsidP="009A05C9">
            <w:pPr>
              <w:rPr>
                <w:rFonts w:ascii="Arial" w:hAnsi="Arial" w:cs="Arial"/>
                <w:sz w:val="14"/>
                <w:szCs w:val="14"/>
              </w:rPr>
            </w:pPr>
            <w:r>
              <w:rPr>
                <w:rFonts w:ascii="Arial" w:hAnsi="Arial" w:cs="Arial"/>
                <w:sz w:val="14"/>
                <w:szCs w:val="14"/>
              </w:rPr>
              <w:t>Cab International</w:t>
            </w:r>
          </w:p>
        </w:tc>
        <w:tc>
          <w:tcPr>
            <w:tcW w:w="867" w:type="dxa"/>
            <w:vAlign w:val="center"/>
          </w:tcPr>
          <w:p w:rsidR="005E53EF" w:rsidRPr="00786A08" w:rsidRDefault="009E0166" w:rsidP="009A05C9">
            <w:pPr>
              <w:rPr>
                <w:rFonts w:ascii="Arial" w:hAnsi="Arial" w:cs="Arial"/>
                <w:sz w:val="14"/>
                <w:szCs w:val="14"/>
              </w:rPr>
            </w:pPr>
            <w:r>
              <w:rPr>
                <w:rFonts w:ascii="Arial" w:hAnsi="Arial" w:cs="Arial"/>
                <w:sz w:val="14"/>
                <w:szCs w:val="14"/>
              </w:rPr>
              <w:t>2003</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5E53EF" w:rsidP="001312B9">
            <w:pPr>
              <w:jc w:val="center"/>
              <w:rPr>
                <w:rFonts w:ascii="Arial" w:hAnsi="Arial" w:cs="Arial"/>
                <w:sz w:val="18"/>
                <w:szCs w:val="18"/>
              </w:rPr>
            </w:pPr>
            <w:r>
              <w:rPr>
                <w:rFonts w:ascii="Arial" w:hAnsi="Arial" w:cs="Arial"/>
                <w:sz w:val="18"/>
                <w:szCs w:val="18"/>
              </w:rPr>
              <w:t xml:space="preserve">UNDERGRADUATE </w:t>
            </w:r>
            <w:r w:rsidRPr="001312B9">
              <w:rPr>
                <w:rFonts w:ascii="Arial" w:hAnsi="Arial" w:cs="Arial"/>
                <w:sz w:val="18"/>
                <w:szCs w:val="18"/>
              </w:rPr>
              <w:t xml:space="preserve">ACADEMIC STUDIES </w:t>
            </w:r>
            <w:r w:rsidR="00A55D14">
              <w:rPr>
                <w:rFonts w:ascii="Arial" w:hAnsi="Arial" w:cs="Arial"/>
                <w:sz w:val="18"/>
                <w:szCs w:val="18"/>
              </w:rPr>
              <w:t>(BACHELOR) IN</w:t>
            </w:r>
            <w:r w:rsidR="00074798">
              <w:rPr>
                <w:rFonts w:ascii="Arial" w:hAnsi="Arial" w:cs="Arial"/>
                <w:sz w:val="18"/>
                <w:szCs w:val="18"/>
              </w:rPr>
              <w:t>ORGANIC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786A08"/>
    <w:sectPr w:rsidR="00DF0ABC" w:rsidSect="00786A08">
      <w:pgSz w:w="12240" w:h="15840"/>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52933"/>
    <w:rsid w:val="00074798"/>
    <w:rsid w:val="0008374A"/>
    <w:rsid w:val="000D57EC"/>
    <w:rsid w:val="001312B9"/>
    <w:rsid w:val="0014598C"/>
    <w:rsid w:val="001F34D7"/>
    <w:rsid w:val="002319BC"/>
    <w:rsid w:val="00255EDE"/>
    <w:rsid w:val="002611DF"/>
    <w:rsid w:val="002E14AA"/>
    <w:rsid w:val="00305D64"/>
    <w:rsid w:val="00322F84"/>
    <w:rsid w:val="00355E57"/>
    <w:rsid w:val="004666C8"/>
    <w:rsid w:val="004C1CC6"/>
    <w:rsid w:val="00535E50"/>
    <w:rsid w:val="005E42D1"/>
    <w:rsid w:val="005E53EF"/>
    <w:rsid w:val="0065435E"/>
    <w:rsid w:val="00655835"/>
    <w:rsid w:val="006F3203"/>
    <w:rsid w:val="007512C7"/>
    <w:rsid w:val="007557F1"/>
    <w:rsid w:val="00786A08"/>
    <w:rsid w:val="007A5C16"/>
    <w:rsid w:val="007B07B8"/>
    <w:rsid w:val="007D59B4"/>
    <w:rsid w:val="008467E2"/>
    <w:rsid w:val="008550C3"/>
    <w:rsid w:val="00857136"/>
    <w:rsid w:val="00887B2A"/>
    <w:rsid w:val="008E1C4B"/>
    <w:rsid w:val="00927F2D"/>
    <w:rsid w:val="009A05C9"/>
    <w:rsid w:val="009B28FB"/>
    <w:rsid w:val="009E0166"/>
    <w:rsid w:val="009E2BF4"/>
    <w:rsid w:val="00A55D14"/>
    <w:rsid w:val="00AE67EE"/>
    <w:rsid w:val="00B43E32"/>
    <w:rsid w:val="00B91F85"/>
    <w:rsid w:val="00C21CE9"/>
    <w:rsid w:val="00C5623C"/>
    <w:rsid w:val="00CC0E96"/>
    <w:rsid w:val="00CC7AA9"/>
    <w:rsid w:val="00CF19DD"/>
    <w:rsid w:val="00D02E1F"/>
    <w:rsid w:val="00D257DE"/>
    <w:rsid w:val="00D33260"/>
    <w:rsid w:val="00D554D7"/>
    <w:rsid w:val="00D57E7D"/>
    <w:rsid w:val="00DA5A67"/>
    <w:rsid w:val="00DF0ABC"/>
    <w:rsid w:val="00E65C08"/>
    <w:rsid w:val="00F87FB0"/>
    <w:rsid w:val="00F97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vojislava.bursic</cp:lastModifiedBy>
  <cp:revision>2</cp:revision>
  <dcterms:created xsi:type="dcterms:W3CDTF">2015-01-14T07:43:00Z</dcterms:created>
  <dcterms:modified xsi:type="dcterms:W3CDTF">2015-01-14T07:43:00Z</dcterms:modified>
</cp:coreProperties>
</file>