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F83D7E" w:rsidRDefault="00C40C00" w:rsidP="00D26E4A">
            <w:pPr>
              <w:jc w:val="center"/>
              <w:rPr>
                <w:rFonts w:ascii="Arial" w:hAnsi="Arial" w:cs="Arial"/>
                <w:i/>
                <w:sz w:val="20"/>
                <w:szCs w:val="20"/>
              </w:rPr>
            </w:pPr>
            <w:r w:rsidRPr="00F83D7E">
              <w:rPr>
                <w:rFonts w:ascii="Arial" w:hAnsi="Arial" w:cs="Arial"/>
                <w:sz w:val="20"/>
                <w:szCs w:val="20"/>
              </w:rPr>
              <w:t xml:space="preserve">POSTHARVEST </w:t>
            </w:r>
            <w:r w:rsidR="00D26E4A">
              <w:rPr>
                <w:rFonts w:ascii="Arial" w:hAnsi="Arial" w:cs="Arial"/>
                <w:sz w:val="20"/>
                <w:szCs w:val="20"/>
              </w:rPr>
              <w:t>PROCESSES</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C40C00">
              <w:rPr>
                <w:rFonts w:ascii="Arial" w:hAnsi="Arial" w:cs="Arial"/>
                <w:sz w:val="16"/>
                <w:szCs w:val="16"/>
              </w:rPr>
              <w:t xml:space="preserve"> 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735E9F" w:rsidRDefault="00C40C00" w:rsidP="001312B9">
            <w:pPr>
              <w:rPr>
                <w:rFonts w:ascii="Arial" w:hAnsi="Arial" w:cs="Arial"/>
                <w:sz w:val="16"/>
                <w:szCs w:val="16"/>
              </w:rPr>
            </w:pPr>
            <w:r w:rsidRPr="00735E9F">
              <w:rPr>
                <w:rFonts w:ascii="Arial" w:hAnsi="Arial" w:cs="Arial"/>
                <w:sz w:val="16"/>
                <w:szCs w:val="16"/>
              </w:rPr>
              <w:t>Ivan Pavkov</w:t>
            </w:r>
            <w:r w:rsidR="00116013" w:rsidRPr="00735E9F">
              <w:rPr>
                <w:rFonts w:ascii="Arial" w:hAnsi="Arial" w:cs="Arial"/>
                <w:sz w:val="16"/>
                <w:szCs w:val="16"/>
              </w:rPr>
              <w:t>, PhD, Assistant professor</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D26E4A"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D26E4A">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116013">
              <w:rPr>
                <w:rFonts w:ascii="Arial" w:hAnsi="Arial" w:cs="Arial"/>
                <w:sz w:val="16"/>
                <w:szCs w:val="16"/>
              </w:rPr>
              <w:t xml:space="preserve"> </w:t>
            </w:r>
            <w:r w:rsidR="00D26E4A">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D26E4A">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116013">
              <w:rPr>
                <w:rFonts w:ascii="Arial" w:hAnsi="Arial" w:cs="Arial"/>
                <w:sz w:val="16"/>
                <w:szCs w:val="16"/>
              </w:rPr>
              <w:t xml:space="preserve"> </w:t>
            </w:r>
            <w:r w:rsidR="00D26E4A">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sidR="00116013">
              <w:rPr>
                <w:rFonts w:ascii="Arial" w:hAnsi="Arial" w:cs="Arial"/>
                <w:sz w:val="16"/>
                <w:szCs w:val="16"/>
              </w:rPr>
              <w:t xml:space="preserve"> -</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r w:rsidR="00F0157A">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r w:rsidR="00F0157A">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D26E4A" w:rsidP="00D26E4A">
            <w:pPr>
              <w:jc w:val="both"/>
            </w:pPr>
            <w:r>
              <w:rPr>
                <w:sz w:val="18"/>
                <w:szCs w:val="18"/>
              </w:rPr>
              <w:t xml:space="preserve">Introduction students with basics technical and technological solutions for drying, processing and </w:t>
            </w:r>
            <w:proofErr w:type="spellStart"/>
            <w:r>
              <w:rPr>
                <w:sz w:val="18"/>
                <w:szCs w:val="18"/>
              </w:rPr>
              <w:t>storaging</w:t>
            </w:r>
            <w:proofErr w:type="spellEnd"/>
            <w:r>
              <w:rPr>
                <w:sz w:val="18"/>
                <w:szCs w:val="18"/>
              </w:rPr>
              <w:t xml:space="preserve">: fruit, vegetables aromatic and medical herbs. </w:t>
            </w:r>
            <w:r w:rsidR="00116013" w:rsidRPr="00116013">
              <w:rPr>
                <w:rFonts w:ascii="Arial" w:hAnsi="Arial" w:cs="Arial"/>
                <w:sz w:val="16"/>
                <w:szCs w:val="16"/>
              </w:rPr>
              <w:t xml:space="preserve">There is estimation that </w:t>
            </w:r>
            <w:proofErr w:type="spellStart"/>
            <w:r w:rsidR="00116013" w:rsidRPr="00116013">
              <w:rPr>
                <w:rFonts w:ascii="Arial" w:hAnsi="Arial" w:cs="Arial"/>
                <w:sz w:val="16"/>
                <w:szCs w:val="16"/>
              </w:rPr>
              <w:t>on</w:t>
            </w:r>
            <w:proofErr w:type="spellEnd"/>
            <w:r w:rsidR="00116013" w:rsidRPr="00116013">
              <w:rPr>
                <w:rFonts w:ascii="Arial" w:hAnsi="Arial" w:cs="Arial"/>
                <w:sz w:val="16"/>
                <w:szCs w:val="16"/>
              </w:rPr>
              <w:t xml:space="preserve">-third or more of fresh fruits and vegetables production worldwide is lost in different steeps from harvesting to consumption sites. It is desirable that those losses need to be reduced. The main objective of this subject is to spread </w:t>
            </w:r>
            <w:proofErr w:type="gramStart"/>
            <w:r w:rsidR="00116013" w:rsidRPr="00116013">
              <w:rPr>
                <w:rFonts w:ascii="Arial" w:hAnsi="Arial" w:cs="Arial"/>
                <w:sz w:val="16"/>
                <w:szCs w:val="16"/>
              </w:rPr>
              <w:t>a knowledge</w:t>
            </w:r>
            <w:proofErr w:type="gramEnd"/>
            <w:r w:rsidR="00116013" w:rsidRPr="00116013">
              <w:rPr>
                <w:rFonts w:ascii="Arial" w:hAnsi="Arial" w:cs="Arial"/>
                <w:sz w:val="16"/>
                <w:szCs w:val="16"/>
              </w:rPr>
              <w:t xml:space="preserve"> about maintains the quality of fruits and vegetables longer then usually from harvesting to domestic refrigerator and to provide safety and quality commodities.</w:t>
            </w:r>
          </w:p>
        </w:tc>
      </w:tr>
      <w:tr w:rsidR="005E42D1" w:rsidTr="001C02FB">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E024ED" w:rsidRPr="00E024ED" w:rsidRDefault="00E024ED" w:rsidP="00E024ED">
            <w:pPr>
              <w:jc w:val="both"/>
              <w:rPr>
                <w:rFonts w:ascii="Arial" w:hAnsi="Arial" w:cs="Arial"/>
                <w:sz w:val="16"/>
                <w:szCs w:val="16"/>
              </w:rPr>
            </w:pPr>
            <w:r w:rsidRPr="00E024ED">
              <w:rPr>
                <w:rFonts w:ascii="Arial" w:hAnsi="Arial" w:cs="Arial"/>
                <w:sz w:val="16"/>
                <w:szCs w:val="16"/>
              </w:rPr>
              <w:t xml:space="preserve">On successful completion of this subject, the students should: </w:t>
            </w:r>
          </w:p>
          <w:p w:rsidR="00E024ED" w:rsidRPr="00E024ED" w:rsidRDefault="00E024ED" w:rsidP="00E024ED">
            <w:pPr>
              <w:jc w:val="both"/>
              <w:rPr>
                <w:rFonts w:ascii="Arial" w:hAnsi="Arial" w:cs="Arial"/>
                <w:sz w:val="16"/>
                <w:szCs w:val="16"/>
              </w:rPr>
            </w:pPr>
            <w:r w:rsidRPr="00E024ED">
              <w:rPr>
                <w:rFonts w:ascii="Arial" w:hAnsi="Arial" w:cs="Arial"/>
                <w:sz w:val="16"/>
                <w:szCs w:val="16"/>
              </w:rPr>
              <w:t>a) have acquired understanding of minimizing postharvest losses of fruit and vegetable that has already been produces,</w:t>
            </w:r>
          </w:p>
          <w:p w:rsidR="00D26E4A" w:rsidRDefault="00D26E4A" w:rsidP="00D26E4A">
            <w:pPr>
              <w:jc w:val="both"/>
              <w:rPr>
                <w:rFonts w:ascii="Arial" w:hAnsi="Arial" w:cs="Arial"/>
                <w:bCs/>
                <w:sz w:val="16"/>
                <w:szCs w:val="16"/>
              </w:rPr>
            </w:pPr>
            <w:r>
              <w:rPr>
                <w:rFonts w:ascii="Arial" w:hAnsi="Arial" w:cs="Arial"/>
                <w:bCs/>
                <w:sz w:val="16"/>
                <w:szCs w:val="16"/>
              </w:rPr>
              <w:t>b</w:t>
            </w:r>
            <w:r w:rsidRPr="007017D1">
              <w:rPr>
                <w:rFonts w:ascii="Arial" w:hAnsi="Arial" w:cs="Arial"/>
                <w:bCs/>
                <w:sz w:val="16"/>
                <w:szCs w:val="16"/>
              </w:rPr>
              <w:t xml:space="preserve">) to assemble mastery of the knowledge, techniques, skills and tools related to </w:t>
            </w:r>
            <w:r>
              <w:rPr>
                <w:rFonts w:ascii="Arial" w:hAnsi="Arial" w:cs="Arial"/>
                <w:bCs/>
                <w:sz w:val="16"/>
                <w:szCs w:val="16"/>
              </w:rPr>
              <w:t xml:space="preserve">drying and primary processing fruits, vegetables, </w:t>
            </w:r>
            <w:r>
              <w:rPr>
                <w:sz w:val="18"/>
                <w:szCs w:val="18"/>
              </w:rPr>
              <w:t>aromatic and medical herbs</w:t>
            </w:r>
            <w:r>
              <w:rPr>
                <w:rFonts w:ascii="Arial" w:hAnsi="Arial" w:cs="Arial"/>
                <w:bCs/>
                <w:sz w:val="16"/>
                <w:szCs w:val="16"/>
              </w:rPr>
              <w:t>.</w:t>
            </w:r>
            <w:r w:rsidRPr="007017D1">
              <w:rPr>
                <w:rFonts w:ascii="Arial" w:hAnsi="Arial" w:cs="Arial"/>
                <w:bCs/>
                <w:sz w:val="16"/>
                <w:szCs w:val="16"/>
              </w:rPr>
              <w:t xml:space="preserve"> </w:t>
            </w:r>
          </w:p>
          <w:p w:rsidR="00D26E4A" w:rsidRPr="007017D1" w:rsidRDefault="00D26E4A" w:rsidP="00D26E4A">
            <w:pPr>
              <w:jc w:val="both"/>
              <w:rPr>
                <w:rFonts w:ascii="Arial" w:hAnsi="Arial" w:cs="Arial"/>
                <w:bCs/>
                <w:sz w:val="16"/>
                <w:szCs w:val="16"/>
              </w:rPr>
            </w:pPr>
            <w:r>
              <w:rPr>
                <w:rFonts w:ascii="Arial" w:hAnsi="Arial" w:cs="Arial"/>
                <w:bCs/>
                <w:sz w:val="16"/>
                <w:szCs w:val="16"/>
              </w:rPr>
              <w:t>c</w:t>
            </w:r>
            <w:r w:rsidRPr="007017D1">
              <w:rPr>
                <w:rFonts w:ascii="Arial" w:hAnsi="Arial" w:cs="Arial"/>
                <w:bCs/>
                <w:sz w:val="16"/>
                <w:szCs w:val="16"/>
              </w:rPr>
              <w:t xml:space="preserve">) be able to identify, analyze and solve drying and </w:t>
            </w:r>
            <w:r>
              <w:rPr>
                <w:rFonts w:ascii="Arial" w:hAnsi="Arial" w:cs="Arial"/>
                <w:bCs/>
                <w:sz w:val="16"/>
                <w:szCs w:val="16"/>
              </w:rPr>
              <w:t>processing</w:t>
            </w:r>
            <w:r w:rsidRPr="007017D1">
              <w:rPr>
                <w:rFonts w:ascii="Arial" w:hAnsi="Arial" w:cs="Arial"/>
                <w:bCs/>
                <w:sz w:val="16"/>
                <w:szCs w:val="16"/>
              </w:rPr>
              <w:t xml:space="preserve"> facilities problems,  </w:t>
            </w:r>
          </w:p>
          <w:p w:rsidR="005E42D1" w:rsidRDefault="00D26E4A" w:rsidP="00D26E4A">
            <w:r>
              <w:rPr>
                <w:rFonts w:ascii="Arial" w:hAnsi="Arial" w:cs="Arial"/>
                <w:bCs/>
                <w:sz w:val="16"/>
                <w:szCs w:val="16"/>
              </w:rPr>
              <w:t>d</w:t>
            </w:r>
            <w:r w:rsidRPr="007017D1">
              <w:rPr>
                <w:rFonts w:ascii="Arial" w:hAnsi="Arial" w:cs="Arial"/>
                <w:bCs/>
                <w:sz w:val="16"/>
                <w:szCs w:val="16"/>
              </w:rPr>
              <w:t xml:space="preserve">) </w:t>
            </w:r>
            <w:proofErr w:type="gramStart"/>
            <w:r w:rsidRPr="007017D1">
              <w:rPr>
                <w:rFonts w:ascii="Arial" w:hAnsi="Arial" w:cs="Arial"/>
                <w:bCs/>
                <w:sz w:val="16"/>
                <w:szCs w:val="16"/>
              </w:rPr>
              <w:t>the</w:t>
            </w:r>
            <w:proofErr w:type="gramEnd"/>
            <w:r w:rsidRPr="007017D1">
              <w:rPr>
                <w:rFonts w:ascii="Arial" w:hAnsi="Arial" w:cs="Arial"/>
                <w:bCs/>
                <w:sz w:val="16"/>
                <w:szCs w:val="16"/>
              </w:rPr>
              <w:t xml:space="preserve"> knowledge gather in this subject will provoke creativity in design and management of </w:t>
            </w:r>
            <w:r>
              <w:rPr>
                <w:rFonts w:ascii="Arial" w:hAnsi="Arial" w:cs="Arial"/>
                <w:bCs/>
                <w:sz w:val="16"/>
                <w:szCs w:val="16"/>
              </w:rPr>
              <w:t xml:space="preserve"> fruits and vegetables</w:t>
            </w:r>
            <w:r w:rsidRPr="007017D1">
              <w:rPr>
                <w:rFonts w:ascii="Arial" w:hAnsi="Arial" w:cs="Arial"/>
                <w:bCs/>
                <w:sz w:val="16"/>
                <w:szCs w:val="16"/>
              </w:rPr>
              <w:t xml:space="preserve"> handling system.</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D26E4A" w:rsidRDefault="00D26E4A" w:rsidP="00735E9F">
            <w:pPr>
              <w:rPr>
                <w:rFonts w:ascii="Arial" w:hAnsi="Arial" w:cs="Arial"/>
                <w:sz w:val="16"/>
                <w:szCs w:val="16"/>
              </w:rPr>
            </w:pPr>
            <w:r>
              <w:rPr>
                <w:rFonts w:ascii="Arial" w:hAnsi="Arial" w:cs="Arial"/>
                <w:sz w:val="16"/>
                <w:szCs w:val="16"/>
              </w:rPr>
              <w:t>Lectures:</w:t>
            </w:r>
          </w:p>
          <w:p w:rsidR="005E42D1" w:rsidRDefault="00E024ED" w:rsidP="00AB02AD">
            <w:pPr>
              <w:jc w:val="both"/>
              <w:rPr>
                <w:rFonts w:ascii="Arial" w:hAnsi="Arial" w:cs="Arial"/>
                <w:sz w:val="16"/>
                <w:szCs w:val="16"/>
              </w:rPr>
            </w:pPr>
            <w:r w:rsidRPr="00E024ED">
              <w:rPr>
                <w:rFonts w:ascii="Arial" w:hAnsi="Arial" w:cs="Arial"/>
                <w:sz w:val="16"/>
                <w:szCs w:val="16"/>
              </w:rPr>
              <w:t xml:space="preserve">Harvesting and primary fruit and vegetable </w:t>
            </w:r>
            <w:r w:rsidR="00735E9F" w:rsidRPr="00E024ED">
              <w:rPr>
                <w:rFonts w:ascii="Arial" w:hAnsi="Arial" w:cs="Arial"/>
                <w:sz w:val="16"/>
                <w:szCs w:val="16"/>
              </w:rPr>
              <w:t>commodities</w:t>
            </w:r>
            <w:r w:rsidRPr="00E024ED">
              <w:rPr>
                <w:rFonts w:ascii="Arial" w:hAnsi="Arial" w:cs="Arial"/>
                <w:sz w:val="16"/>
                <w:szCs w:val="16"/>
              </w:rPr>
              <w:t xml:space="preserve"> cooling, Storage systems (temperature and </w:t>
            </w:r>
            <w:r w:rsidR="001F76DC" w:rsidRPr="00E024ED">
              <w:rPr>
                <w:rFonts w:ascii="Arial" w:hAnsi="Arial" w:cs="Arial"/>
                <w:sz w:val="16"/>
                <w:szCs w:val="16"/>
              </w:rPr>
              <w:t>humidity</w:t>
            </w:r>
            <w:r w:rsidRPr="00E024ED">
              <w:rPr>
                <w:rFonts w:ascii="Arial" w:hAnsi="Arial" w:cs="Arial"/>
                <w:sz w:val="16"/>
                <w:szCs w:val="16"/>
              </w:rPr>
              <w:t xml:space="preserve"> of the air, storage facilities, small scale refrigerated storage,  room cooling, forced-air cooling, </w:t>
            </w:r>
            <w:r w:rsidR="00735E9F" w:rsidRPr="00E024ED">
              <w:rPr>
                <w:rFonts w:ascii="Arial" w:hAnsi="Arial" w:cs="Arial"/>
                <w:sz w:val="16"/>
                <w:szCs w:val="16"/>
              </w:rPr>
              <w:t>hydro cooling</w:t>
            </w:r>
            <w:r w:rsidRPr="00E024ED">
              <w:rPr>
                <w:rFonts w:ascii="Arial" w:hAnsi="Arial" w:cs="Arial"/>
                <w:sz w:val="16"/>
                <w:szCs w:val="16"/>
              </w:rPr>
              <w:t xml:space="preserve">, </w:t>
            </w:r>
            <w:r w:rsidR="00735E9F" w:rsidRPr="00E024ED">
              <w:rPr>
                <w:rFonts w:ascii="Arial" w:hAnsi="Arial" w:cs="Arial"/>
                <w:sz w:val="16"/>
                <w:szCs w:val="16"/>
              </w:rPr>
              <w:t>vacuum</w:t>
            </w:r>
            <w:r w:rsidRPr="00E024ED">
              <w:rPr>
                <w:rFonts w:ascii="Arial" w:hAnsi="Arial" w:cs="Arial"/>
                <w:sz w:val="16"/>
                <w:szCs w:val="16"/>
              </w:rPr>
              <w:t xml:space="preserve"> cooling), 3. Refrigeration system (mechanical and alternative refrigeration sources), Modified atmosphere in storing and transport,</w:t>
            </w:r>
            <w:r w:rsidR="00AB02AD">
              <w:rPr>
                <w:rFonts w:ascii="Arial" w:hAnsi="Arial" w:cs="Arial"/>
                <w:sz w:val="16"/>
                <w:szCs w:val="16"/>
              </w:rPr>
              <w:t xml:space="preserve"> </w:t>
            </w:r>
            <w:r w:rsidRPr="00E024ED">
              <w:rPr>
                <w:rFonts w:ascii="Arial" w:hAnsi="Arial" w:cs="Arial"/>
                <w:sz w:val="16"/>
                <w:szCs w:val="16"/>
              </w:rPr>
              <w:t>Pa</w:t>
            </w:r>
            <w:r w:rsidR="00AB02AD">
              <w:rPr>
                <w:rFonts w:ascii="Arial" w:hAnsi="Arial" w:cs="Arial"/>
                <w:sz w:val="16"/>
                <w:szCs w:val="16"/>
              </w:rPr>
              <w:t>ckages for fruit and vegetables</w:t>
            </w:r>
            <w:r w:rsidRPr="00E024ED">
              <w:rPr>
                <w:rFonts w:ascii="Arial" w:hAnsi="Arial" w:cs="Arial"/>
                <w:sz w:val="16"/>
                <w:szCs w:val="16"/>
              </w:rPr>
              <w:t xml:space="preserve">, Postharvest handling systems (stone fruits, </w:t>
            </w:r>
            <w:proofErr w:type="spellStart"/>
            <w:r w:rsidRPr="00E024ED">
              <w:rPr>
                <w:rFonts w:ascii="Arial" w:hAnsi="Arial" w:cs="Arial"/>
                <w:sz w:val="16"/>
                <w:szCs w:val="16"/>
              </w:rPr>
              <w:t>pome</w:t>
            </w:r>
            <w:proofErr w:type="spellEnd"/>
            <w:r w:rsidRPr="00E024ED">
              <w:rPr>
                <w:rFonts w:ascii="Arial" w:hAnsi="Arial" w:cs="Arial"/>
                <w:sz w:val="16"/>
                <w:szCs w:val="16"/>
              </w:rPr>
              <w:t xml:space="preserve"> fruits, small fruits, vegetables</w:t>
            </w:r>
            <w:r w:rsidR="00D26E4A">
              <w:rPr>
                <w:rFonts w:ascii="Arial" w:hAnsi="Arial" w:cs="Arial"/>
                <w:sz w:val="16"/>
                <w:szCs w:val="16"/>
              </w:rPr>
              <w:t>,</w:t>
            </w:r>
            <w:r w:rsidR="00AB02AD">
              <w:rPr>
                <w:sz w:val="18"/>
                <w:szCs w:val="18"/>
              </w:rPr>
              <w:t xml:space="preserve"> aromatic and medical herbs</w:t>
            </w:r>
            <w:r w:rsidRPr="00E024ED">
              <w:rPr>
                <w:rFonts w:ascii="Arial" w:hAnsi="Arial" w:cs="Arial"/>
                <w:sz w:val="16"/>
                <w:szCs w:val="16"/>
              </w:rPr>
              <w:t>).</w:t>
            </w:r>
            <w:r w:rsidR="00AB02AD">
              <w:rPr>
                <w:rStyle w:val="hps"/>
                <w:sz w:val="18"/>
                <w:szCs w:val="18"/>
              </w:rPr>
              <w:t xml:space="preserve"> Storage of dried products. Lifetime of product. Machines and materials for package the dried material.</w:t>
            </w:r>
          </w:p>
          <w:p w:rsidR="00D26E4A" w:rsidRDefault="00D26E4A" w:rsidP="00D26E4A">
            <w:pPr>
              <w:jc w:val="both"/>
              <w:rPr>
                <w:sz w:val="18"/>
                <w:szCs w:val="18"/>
              </w:rPr>
            </w:pPr>
            <w:r>
              <w:rPr>
                <w:sz w:val="18"/>
                <w:szCs w:val="18"/>
              </w:rPr>
              <w:t>Practice:</w:t>
            </w:r>
          </w:p>
          <w:p w:rsidR="00D26E4A" w:rsidRDefault="00D26E4A" w:rsidP="00AB02AD">
            <w:pPr>
              <w:jc w:val="both"/>
            </w:pPr>
            <w:r>
              <w:rPr>
                <w:sz w:val="18"/>
                <w:szCs w:val="18"/>
              </w:rPr>
              <w:t xml:space="preserve">Measuring of physical properties for fruit, vegetable, aromatic and medical herbs. </w:t>
            </w:r>
            <w:r w:rsidRPr="00721DCC">
              <w:rPr>
                <w:sz w:val="18"/>
                <w:szCs w:val="18"/>
              </w:rPr>
              <w:t xml:space="preserve">Calculation </w:t>
            </w:r>
            <w:r>
              <w:rPr>
                <w:sz w:val="18"/>
                <w:szCs w:val="18"/>
              </w:rPr>
              <w:t xml:space="preserve">in diagram humid air, material </w:t>
            </w:r>
            <w:proofErr w:type="spellStart"/>
            <w:r>
              <w:rPr>
                <w:sz w:val="18"/>
                <w:szCs w:val="18"/>
              </w:rPr>
              <w:t>bilans</w:t>
            </w:r>
            <w:proofErr w:type="spellEnd"/>
            <w:r>
              <w:rPr>
                <w:sz w:val="18"/>
                <w:szCs w:val="18"/>
              </w:rPr>
              <w:t xml:space="preserve"> of moisture and energy for air during drying processes. Preparation fruit and vegetable for drying - laboratory practice, convective drying - laboratory practice, osmotic drying - laboratory practice. Planning of storage for drying fruit and vegetables. Sorting and packaging. Business plan with basic ideas for drying facilities. Study visits in centers for fruit</w:t>
            </w:r>
            <w:r w:rsidR="00AB02AD">
              <w:rPr>
                <w:sz w:val="18"/>
                <w:szCs w:val="18"/>
              </w:rPr>
              <w:t>,</w:t>
            </w:r>
            <w:r>
              <w:rPr>
                <w:sz w:val="18"/>
                <w:szCs w:val="18"/>
              </w:rPr>
              <w:t xml:space="preserve"> vegetables</w:t>
            </w:r>
            <w:r w:rsidR="00AB02AD">
              <w:rPr>
                <w:sz w:val="18"/>
                <w:szCs w:val="18"/>
              </w:rPr>
              <w:t>, aromatic and medical herbs</w:t>
            </w:r>
            <w:r>
              <w:rPr>
                <w:sz w:val="18"/>
                <w:szCs w:val="18"/>
              </w:rPr>
              <w:t xml:space="preserve"> processing. </w:t>
            </w:r>
          </w:p>
        </w:tc>
      </w:tr>
      <w:tr w:rsidR="005E42D1" w:rsidTr="005E42D1">
        <w:tc>
          <w:tcPr>
            <w:tcW w:w="9622"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3590E" w:rsidRDefault="00A3590E" w:rsidP="00A3590E">
            <w:pPr>
              <w:tabs>
                <w:tab w:val="left" w:pos="493"/>
              </w:tabs>
              <w:rPr>
                <w:rFonts w:ascii="Arial" w:hAnsi="Arial" w:cs="Arial"/>
                <w:sz w:val="16"/>
                <w:szCs w:val="16"/>
              </w:rPr>
            </w:pPr>
            <w:r>
              <w:rPr>
                <w:rFonts w:ascii="Arial" w:hAnsi="Arial" w:cs="Arial"/>
                <w:sz w:val="16"/>
                <w:szCs w:val="16"/>
              </w:rPr>
              <w:tab/>
              <w:t>Lectures</w:t>
            </w:r>
            <w:r w:rsidR="00735E9F">
              <w:rPr>
                <w:rFonts w:ascii="Arial" w:hAnsi="Arial" w:cs="Arial"/>
                <w:sz w:val="16"/>
                <w:szCs w:val="16"/>
              </w:rPr>
              <w:t xml:space="preserve"> – oral presentations with power point softer</w:t>
            </w:r>
            <w:r>
              <w:rPr>
                <w:rFonts w:ascii="Arial" w:hAnsi="Arial" w:cs="Arial"/>
                <w:sz w:val="16"/>
                <w:szCs w:val="16"/>
              </w:rPr>
              <w:t xml:space="preserve">, </w:t>
            </w:r>
            <w:r w:rsidR="00735E9F">
              <w:rPr>
                <w:rFonts w:ascii="Arial" w:hAnsi="Arial" w:cs="Arial"/>
                <w:sz w:val="16"/>
                <w:szCs w:val="16"/>
              </w:rPr>
              <w:t>Practical</w:t>
            </w:r>
            <w:r>
              <w:rPr>
                <w:rFonts w:ascii="Arial" w:hAnsi="Arial" w:cs="Arial"/>
                <w:sz w:val="16"/>
                <w:szCs w:val="16"/>
              </w:rPr>
              <w:t xml:space="preserve"> classes</w:t>
            </w:r>
            <w:r w:rsidR="00735E9F">
              <w:rPr>
                <w:rFonts w:ascii="Arial" w:hAnsi="Arial" w:cs="Arial"/>
                <w:sz w:val="16"/>
                <w:szCs w:val="16"/>
              </w:rPr>
              <w:t>- calculations and practical work in laboratory</w:t>
            </w:r>
            <w:r>
              <w:rPr>
                <w:rFonts w:ascii="Arial" w:hAnsi="Arial" w:cs="Arial"/>
                <w:sz w:val="16"/>
                <w:szCs w:val="16"/>
              </w:rPr>
              <w:t>, Consultations and Term paper</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A3590E">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A3590E">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A3590E"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A3590E">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D26E4A" w:rsidP="005E42D1">
            <w:pPr>
              <w:jc w:val="center"/>
              <w:rPr>
                <w:rFonts w:ascii="Arial" w:hAnsi="Arial" w:cs="Arial"/>
                <w:sz w:val="16"/>
                <w:szCs w:val="16"/>
              </w:rPr>
            </w:pPr>
            <w:r>
              <w:rPr>
                <w:rFonts w:ascii="Arial" w:hAnsi="Arial" w:cs="Arial"/>
                <w:sz w:val="16"/>
                <w:szCs w:val="16"/>
              </w:rPr>
              <w:t>1</w:t>
            </w:r>
            <w:r w:rsidR="00A3590E">
              <w:rPr>
                <w:rFonts w:ascii="Arial" w:hAnsi="Arial" w:cs="Arial"/>
                <w:sz w:val="16"/>
                <w:szCs w:val="16"/>
              </w:rPr>
              <w:t>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A3590E">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D26E4A" w:rsidP="005E42D1">
            <w:pPr>
              <w:jc w:val="center"/>
              <w:rPr>
                <w:rFonts w:ascii="Arial" w:hAnsi="Arial" w:cs="Arial"/>
                <w:sz w:val="16"/>
                <w:szCs w:val="16"/>
              </w:rPr>
            </w:pPr>
            <w:r>
              <w:rPr>
                <w:rFonts w:ascii="Arial" w:hAnsi="Arial" w:cs="Arial"/>
                <w:sz w:val="16"/>
                <w:szCs w:val="16"/>
              </w:rPr>
              <w:t>7</w:t>
            </w:r>
            <w:r w:rsidR="00A3590E">
              <w:rPr>
                <w:rFonts w:ascii="Arial" w:hAnsi="Arial" w:cs="Arial"/>
                <w:sz w:val="16"/>
                <w:szCs w:val="16"/>
              </w:rPr>
              <w:t>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A3590E">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A3590E" w:rsidP="005E42D1">
            <w:pPr>
              <w:jc w:val="center"/>
              <w:rPr>
                <w:rFonts w:ascii="Arial" w:hAnsi="Arial" w:cs="Arial"/>
                <w:sz w:val="16"/>
                <w:szCs w:val="16"/>
              </w:rPr>
            </w:pPr>
            <w:r>
              <w:rPr>
                <w:rFonts w:ascii="Arial" w:hAnsi="Arial" w:cs="Arial"/>
                <w:sz w:val="16"/>
                <w:szCs w:val="16"/>
              </w:rPr>
              <w:t>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A3590E" w:rsidRDefault="00D02E1F" w:rsidP="00A3590E">
            <w:pPr>
              <w:rPr>
                <w:rFonts w:ascii="Arial" w:hAnsi="Arial" w:cs="Arial"/>
                <w:sz w:val="16"/>
                <w:szCs w:val="16"/>
              </w:rPr>
            </w:pPr>
            <w:r w:rsidRPr="00A3590E">
              <w:rPr>
                <w:sz w:val="16"/>
                <w:szCs w:val="16"/>
              </w:rPr>
              <w:t>Term paper</w:t>
            </w:r>
          </w:p>
        </w:tc>
        <w:tc>
          <w:tcPr>
            <w:tcW w:w="1134" w:type="dxa"/>
            <w:tcBorders>
              <w:bottom w:val="single" w:sz="4" w:space="0" w:color="auto"/>
            </w:tcBorders>
            <w:shd w:val="clear" w:color="auto" w:fill="auto"/>
            <w:vAlign w:val="center"/>
          </w:tcPr>
          <w:p w:rsidR="00D02E1F" w:rsidRDefault="00D02E1F" w:rsidP="00A3590E">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A3590E" w:rsidP="005E42D1">
            <w:pPr>
              <w:jc w:val="center"/>
              <w:rPr>
                <w:rFonts w:ascii="Arial" w:hAnsi="Arial" w:cs="Arial"/>
                <w:sz w:val="16"/>
                <w:szCs w:val="16"/>
              </w:rPr>
            </w:pPr>
            <w:r>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E024ED" w:rsidRDefault="00E024ED" w:rsidP="00D02E1F">
            <w:pPr>
              <w:jc w:val="center"/>
              <w:rPr>
                <w:rFonts w:ascii="Arial" w:hAnsi="Arial" w:cs="Arial"/>
                <w:sz w:val="16"/>
                <w:szCs w:val="16"/>
              </w:rPr>
            </w:pPr>
            <w:r w:rsidRPr="00E024ED">
              <w:rPr>
                <w:rFonts w:ascii="Arial" w:hAnsi="Arial" w:cs="Arial"/>
                <w:bCs/>
                <w:sz w:val="16"/>
                <w:szCs w:val="16"/>
              </w:rPr>
              <w:t>Kader, A. A.</w:t>
            </w:r>
          </w:p>
        </w:tc>
        <w:tc>
          <w:tcPr>
            <w:tcW w:w="2435" w:type="dxa"/>
            <w:gridSpan w:val="3"/>
            <w:vAlign w:val="center"/>
          </w:tcPr>
          <w:p w:rsidR="005E42D1" w:rsidRPr="00E024ED" w:rsidRDefault="00E024ED" w:rsidP="00D02E1F">
            <w:pPr>
              <w:jc w:val="center"/>
              <w:rPr>
                <w:rFonts w:ascii="Arial" w:hAnsi="Arial" w:cs="Arial"/>
                <w:sz w:val="16"/>
                <w:szCs w:val="16"/>
              </w:rPr>
            </w:pPr>
            <w:r w:rsidRPr="00E024ED">
              <w:rPr>
                <w:rFonts w:ascii="Arial" w:hAnsi="Arial" w:cs="Arial"/>
                <w:bCs/>
                <w:sz w:val="16"/>
                <w:szCs w:val="16"/>
              </w:rPr>
              <w:t>Postharvest Technology of Horticultural Crops</w:t>
            </w:r>
          </w:p>
        </w:tc>
        <w:tc>
          <w:tcPr>
            <w:tcW w:w="3661" w:type="dxa"/>
            <w:gridSpan w:val="4"/>
            <w:vAlign w:val="center"/>
          </w:tcPr>
          <w:p w:rsidR="005E42D1" w:rsidRPr="00E024ED" w:rsidRDefault="00E024ED" w:rsidP="00D02E1F">
            <w:pPr>
              <w:jc w:val="center"/>
              <w:rPr>
                <w:rFonts w:ascii="Arial" w:hAnsi="Arial" w:cs="Arial"/>
                <w:sz w:val="16"/>
                <w:szCs w:val="16"/>
              </w:rPr>
            </w:pPr>
            <w:r w:rsidRPr="00E024ED">
              <w:rPr>
                <w:rFonts w:ascii="Arial" w:hAnsi="Arial" w:cs="Arial"/>
                <w:bCs/>
                <w:sz w:val="16"/>
                <w:szCs w:val="16"/>
              </w:rPr>
              <w:t>University of California, Agricultural and Natural resources, Publication 3311</w:t>
            </w:r>
          </w:p>
        </w:tc>
        <w:tc>
          <w:tcPr>
            <w:tcW w:w="1150" w:type="dxa"/>
            <w:vAlign w:val="center"/>
          </w:tcPr>
          <w:p w:rsidR="005E42D1" w:rsidRPr="00E024ED" w:rsidRDefault="00E024ED" w:rsidP="00D02E1F">
            <w:pPr>
              <w:jc w:val="center"/>
              <w:rPr>
                <w:rFonts w:ascii="Arial" w:hAnsi="Arial" w:cs="Arial"/>
                <w:sz w:val="16"/>
                <w:szCs w:val="16"/>
              </w:rPr>
            </w:pPr>
            <w:r w:rsidRPr="00E024ED">
              <w:rPr>
                <w:rFonts w:ascii="Arial" w:hAnsi="Arial" w:cs="Arial"/>
                <w:sz w:val="16"/>
                <w:szCs w:val="16"/>
              </w:rPr>
              <w:t>2002</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E024ED" w:rsidRDefault="00E024ED" w:rsidP="00D02E1F">
            <w:pPr>
              <w:jc w:val="center"/>
              <w:rPr>
                <w:rFonts w:ascii="Arial" w:hAnsi="Arial" w:cs="Arial"/>
                <w:sz w:val="16"/>
                <w:szCs w:val="16"/>
              </w:rPr>
            </w:pPr>
            <w:proofErr w:type="spellStart"/>
            <w:r w:rsidRPr="00E024ED">
              <w:rPr>
                <w:rFonts w:ascii="Arial" w:hAnsi="Arial" w:cs="Arial"/>
                <w:bCs/>
                <w:sz w:val="16"/>
                <w:szCs w:val="16"/>
              </w:rPr>
              <w:t>Gledon</w:t>
            </w:r>
            <w:proofErr w:type="spellEnd"/>
            <w:r w:rsidRPr="00E024ED">
              <w:rPr>
                <w:rFonts w:ascii="Arial" w:hAnsi="Arial" w:cs="Arial"/>
                <w:bCs/>
                <w:sz w:val="16"/>
                <w:szCs w:val="16"/>
              </w:rPr>
              <w:t xml:space="preserve"> R.</w:t>
            </w:r>
          </w:p>
        </w:tc>
        <w:tc>
          <w:tcPr>
            <w:tcW w:w="2435" w:type="dxa"/>
            <w:gridSpan w:val="3"/>
            <w:vAlign w:val="center"/>
          </w:tcPr>
          <w:p w:rsidR="00D02E1F" w:rsidRPr="00E024ED" w:rsidRDefault="00E024ED" w:rsidP="00D02E1F">
            <w:pPr>
              <w:jc w:val="center"/>
              <w:rPr>
                <w:rFonts w:ascii="Arial" w:hAnsi="Arial" w:cs="Arial"/>
                <w:sz w:val="16"/>
                <w:szCs w:val="16"/>
              </w:rPr>
            </w:pPr>
            <w:r w:rsidRPr="00E024ED">
              <w:rPr>
                <w:rFonts w:ascii="Arial" w:hAnsi="Arial" w:cs="Arial"/>
                <w:bCs/>
                <w:sz w:val="16"/>
                <w:szCs w:val="16"/>
              </w:rPr>
              <w:t>Postharvest Technology - Scripts</w:t>
            </w:r>
          </w:p>
        </w:tc>
        <w:tc>
          <w:tcPr>
            <w:tcW w:w="3661" w:type="dxa"/>
            <w:gridSpan w:val="4"/>
            <w:vAlign w:val="center"/>
          </w:tcPr>
          <w:p w:rsidR="00D02E1F" w:rsidRPr="00E024ED" w:rsidRDefault="00E024ED" w:rsidP="00D02E1F">
            <w:pPr>
              <w:jc w:val="center"/>
              <w:rPr>
                <w:rFonts w:ascii="Arial" w:hAnsi="Arial" w:cs="Arial"/>
                <w:sz w:val="16"/>
                <w:szCs w:val="16"/>
              </w:rPr>
            </w:pPr>
            <w:r w:rsidRPr="00E024ED">
              <w:rPr>
                <w:rFonts w:ascii="Arial" w:hAnsi="Arial" w:cs="Arial"/>
                <w:bCs/>
                <w:sz w:val="16"/>
                <w:szCs w:val="16"/>
              </w:rPr>
              <w:t>Iowa State University, College of Agriculture</w:t>
            </w:r>
          </w:p>
        </w:tc>
        <w:tc>
          <w:tcPr>
            <w:tcW w:w="1150" w:type="dxa"/>
            <w:vAlign w:val="center"/>
          </w:tcPr>
          <w:p w:rsidR="00D02E1F" w:rsidRPr="00E024ED" w:rsidRDefault="00E024ED" w:rsidP="00D02E1F">
            <w:pPr>
              <w:jc w:val="center"/>
              <w:rPr>
                <w:rFonts w:ascii="Arial" w:hAnsi="Arial" w:cs="Arial"/>
                <w:sz w:val="16"/>
                <w:szCs w:val="16"/>
              </w:rPr>
            </w:pPr>
            <w:r w:rsidRPr="00E024ED">
              <w:rPr>
                <w:rFonts w:ascii="Arial" w:hAnsi="Arial" w:cs="Arial"/>
                <w:sz w:val="16"/>
                <w:szCs w:val="16"/>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C40C00" w:rsidRPr="001312B9" w:rsidRDefault="00D26E4A" w:rsidP="00AB02AD">
            <w:pPr>
              <w:jc w:val="center"/>
              <w:rPr>
                <w:rFonts w:ascii="Arial" w:hAnsi="Arial" w:cs="Arial"/>
                <w:sz w:val="18"/>
                <w:szCs w:val="18"/>
              </w:rPr>
            </w:pPr>
            <w:r w:rsidRPr="003F5749">
              <w:rPr>
                <w:rFonts w:ascii="Arial" w:hAnsi="Arial" w:cs="Arial"/>
                <w:sz w:val="20"/>
                <w:szCs w:val="20"/>
              </w:rPr>
              <w:t xml:space="preserve">UNDERGRADUATE ACADEMIC STUDIES </w:t>
            </w:r>
            <w:r w:rsidRPr="003F5749">
              <w:rPr>
                <w:rFonts w:ascii="Arial" w:hAnsi="Arial" w:cs="Arial"/>
                <w:color w:val="000000"/>
                <w:sz w:val="20"/>
                <w:szCs w:val="20"/>
                <w:lang w:val="sr-Latn-CS"/>
              </w:rPr>
              <w:t>ORGANIC AGRICULTURE</w:t>
            </w:r>
            <w:r w:rsidRPr="00144ED2">
              <w:rPr>
                <w:rFonts w:ascii="Arial" w:eastAsia="Calibri" w:hAnsi="Arial" w:cs="Arial"/>
                <w:color w:val="000000"/>
                <w:sz w:val="18"/>
                <w:szCs w:val="18"/>
              </w:rPr>
              <w:t xml:space="preserve"> </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AB02AD"/>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16013"/>
    <w:rsid w:val="001312B9"/>
    <w:rsid w:val="001D0EAE"/>
    <w:rsid w:val="001F34D7"/>
    <w:rsid w:val="001F76DC"/>
    <w:rsid w:val="002319BC"/>
    <w:rsid w:val="00255EDE"/>
    <w:rsid w:val="002611DF"/>
    <w:rsid w:val="00322F84"/>
    <w:rsid w:val="00324634"/>
    <w:rsid w:val="004666C8"/>
    <w:rsid w:val="00467CDA"/>
    <w:rsid w:val="004C1CC6"/>
    <w:rsid w:val="00535E50"/>
    <w:rsid w:val="005E42D1"/>
    <w:rsid w:val="00735E9F"/>
    <w:rsid w:val="00753B48"/>
    <w:rsid w:val="00916C3C"/>
    <w:rsid w:val="00927F2D"/>
    <w:rsid w:val="009B28FB"/>
    <w:rsid w:val="009E2BF4"/>
    <w:rsid w:val="00A26D32"/>
    <w:rsid w:val="00A3590E"/>
    <w:rsid w:val="00AB02AD"/>
    <w:rsid w:val="00AE67EE"/>
    <w:rsid w:val="00C21CE9"/>
    <w:rsid w:val="00C40C00"/>
    <w:rsid w:val="00CC0E96"/>
    <w:rsid w:val="00CC7AA9"/>
    <w:rsid w:val="00D02E1F"/>
    <w:rsid w:val="00D26E4A"/>
    <w:rsid w:val="00D554D7"/>
    <w:rsid w:val="00D57E7D"/>
    <w:rsid w:val="00DF0ABC"/>
    <w:rsid w:val="00E024ED"/>
    <w:rsid w:val="00E80721"/>
    <w:rsid w:val="00F0157A"/>
    <w:rsid w:val="00F83D7E"/>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AB02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ivan.pavkov</cp:lastModifiedBy>
  <cp:revision>4</cp:revision>
  <dcterms:created xsi:type="dcterms:W3CDTF">2014-12-18T11:53:00Z</dcterms:created>
  <dcterms:modified xsi:type="dcterms:W3CDTF">2015-01-15T16:35:00Z</dcterms:modified>
</cp:coreProperties>
</file>