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560"/>
        <w:gridCol w:w="141"/>
        <w:gridCol w:w="1134"/>
        <w:gridCol w:w="567"/>
        <w:gridCol w:w="734"/>
        <w:gridCol w:w="259"/>
        <w:gridCol w:w="850"/>
        <w:gridCol w:w="1418"/>
        <w:gridCol w:w="425"/>
        <w:gridCol w:w="709"/>
        <w:gridCol w:w="1275"/>
      </w:tblGrid>
      <w:tr w:rsidR="009E2BF4" w:rsidTr="002E747D">
        <w:trPr>
          <w:trHeight w:val="420"/>
        </w:trPr>
        <w:tc>
          <w:tcPr>
            <w:tcW w:w="2235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  <w:r w:rsidR="002E74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47D" w:rsidRPr="002E747D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  <w:tc>
          <w:tcPr>
            <w:tcW w:w="7512" w:type="dxa"/>
            <w:gridSpan w:val="10"/>
            <w:vMerge w:val="restart"/>
            <w:vAlign w:val="center"/>
          </w:tcPr>
          <w:p w:rsidR="009E2BF4" w:rsidRPr="009E2BF4" w:rsidRDefault="00597157" w:rsidP="002E74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HUNTING</w:t>
            </w:r>
          </w:p>
        </w:tc>
      </w:tr>
      <w:tr w:rsidR="009E2BF4" w:rsidTr="002E747D">
        <w:tc>
          <w:tcPr>
            <w:tcW w:w="2235" w:type="dxa"/>
            <w:gridSpan w:val="2"/>
            <w:vAlign w:val="center"/>
          </w:tcPr>
          <w:p w:rsidR="009E2BF4" w:rsidRPr="009E2BF4" w:rsidRDefault="009E2BF4" w:rsidP="00E15D23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9E0930">
              <w:rPr>
                <w:rFonts w:ascii="Arial" w:hAnsi="Arial" w:cs="Arial"/>
                <w:sz w:val="16"/>
                <w:szCs w:val="16"/>
              </w:rPr>
              <w:t>7OST</w:t>
            </w:r>
            <w:r w:rsidR="00E15D23" w:rsidRPr="00E15D23">
              <w:rPr>
                <w:rFonts w:ascii="Arial" w:hAnsi="Arial" w:cs="Arial"/>
                <w:sz w:val="16"/>
                <w:szCs w:val="16"/>
              </w:rPr>
              <w:t>4O19</w:t>
            </w:r>
          </w:p>
        </w:tc>
        <w:tc>
          <w:tcPr>
            <w:tcW w:w="7512" w:type="dxa"/>
            <w:gridSpan w:val="10"/>
            <w:vMerge/>
          </w:tcPr>
          <w:p w:rsidR="009E2BF4" w:rsidRDefault="009E2BF4" w:rsidP="001312B9"/>
        </w:tc>
      </w:tr>
      <w:tr w:rsidR="009E2BF4" w:rsidTr="002E747D">
        <w:tc>
          <w:tcPr>
            <w:tcW w:w="2235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E15D2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12" w:type="dxa"/>
            <w:gridSpan w:val="10"/>
            <w:vMerge/>
          </w:tcPr>
          <w:p w:rsidR="009E2BF4" w:rsidRDefault="009E2BF4" w:rsidP="001312B9"/>
        </w:tc>
      </w:tr>
      <w:tr w:rsidR="002611DF" w:rsidTr="002E747D">
        <w:tc>
          <w:tcPr>
            <w:tcW w:w="2235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12" w:type="dxa"/>
            <w:gridSpan w:val="10"/>
          </w:tcPr>
          <w:p w:rsidR="002611DF" w:rsidRPr="00EE48F1" w:rsidRDefault="002E747D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EE48F1">
              <w:rPr>
                <w:rFonts w:ascii="Arial" w:hAnsi="Arial" w:cs="Arial"/>
                <w:sz w:val="16"/>
                <w:szCs w:val="16"/>
              </w:rPr>
              <w:t>Prof</w:t>
            </w:r>
            <w:r w:rsidR="00CC5866" w:rsidRPr="00EE48F1">
              <w:rPr>
                <w:rFonts w:ascii="Arial" w:hAnsi="Arial" w:cs="Arial"/>
                <w:sz w:val="16"/>
                <w:szCs w:val="16"/>
              </w:rPr>
              <w:t>.</w:t>
            </w:r>
            <w:r w:rsidRPr="00EE48F1">
              <w:rPr>
                <w:rFonts w:ascii="Arial" w:hAnsi="Arial" w:cs="Arial"/>
                <w:sz w:val="16"/>
                <w:szCs w:val="16"/>
              </w:rPr>
              <w:t xml:space="preserve"> Dr </w:t>
            </w:r>
            <w:proofErr w:type="spellStart"/>
            <w:r w:rsidRPr="00EE48F1">
              <w:rPr>
                <w:rFonts w:ascii="Arial" w:hAnsi="Arial" w:cs="Arial"/>
                <w:sz w:val="16"/>
                <w:szCs w:val="16"/>
              </w:rPr>
              <w:t>Miloš</w:t>
            </w:r>
            <w:proofErr w:type="spellEnd"/>
            <w:r w:rsidRPr="00EE48F1">
              <w:rPr>
                <w:rFonts w:ascii="Arial" w:hAnsi="Arial" w:cs="Arial"/>
                <w:sz w:val="16"/>
                <w:szCs w:val="16"/>
              </w:rPr>
              <w:t xml:space="preserve"> Beuković</w:t>
            </w:r>
          </w:p>
          <w:p w:rsidR="00EE48F1" w:rsidRDefault="00EE48F1" w:rsidP="001312B9">
            <w:r w:rsidRPr="00EE48F1">
              <w:rPr>
                <w:rFonts w:ascii="Arial" w:hAnsi="Arial" w:cs="Arial"/>
                <w:sz w:val="16"/>
                <w:szCs w:val="16"/>
              </w:rPr>
              <w:t>Dr Dejan Beuković</w:t>
            </w:r>
          </w:p>
        </w:tc>
      </w:tr>
      <w:tr w:rsidR="00DF0ABC" w:rsidTr="002E747D"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12" w:type="dxa"/>
            <w:gridSpan w:val="10"/>
            <w:tcBorders>
              <w:bottom w:val="single" w:sz="4" w:space="0" w:color="auto"/>
            </w:tcBorders>
          </w:tcPr>
          <w:p w:rsidR="00DF0ABC" w:rsidRDefault="00AE67EE" w:rsidP="002E747D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E747D">
        <w:trPr>
          <w:trHeight w:val="227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255F99">
              <w:rPr>
                <w:rFonts w:ascii="Arial" w:hAnsi="Arial" w:cs="Arial"/>
                <w:sz w:val="16"/>
                <w:szCs w:val="16"/>
              </w:rPr>
              <w:t>3x15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597157">
              <w:rPr>
                <w:rFonts w:ascii="Arial" w:hAnsi="Arial" w:cs="Arial"/>
                <w:sz w:val="16"/>
                <w:szCs w:val="16"/>
              </w:rPr>
              <w:t>2</w:t>
            </w:r>
            <w:r w:rsidR="00255F99">
              <w:rPr>
                <w:rFonts w:ascii="Arial" w:hAnsi="Arial" w:cs="Arial"/>
                <w:sz w:val="16"/>
                <w:szCs w:val="16"/>
              </w:rPr>
              <w:t>x15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E747D">
        <w:tc>
          <w:tcPr>
            <w:tcW w:w="2235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12" w:type="dxa"/>
            <w:gridSpan w:val="10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2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554B1C" w:rsidRDefault="00554B1C" w:rsidP="00E15D23">
            <w:pPr>
              <w:rPr>
                <w:rFonts w:ascii="Arial" w:hAnsi="Arial" w:cs="Arial"/>
                <w:sz w:val="16"/>
                <w:szCs w:val="16"/>
              </w:rPr>
            </w:pPr>
            <w:r w:rsidRPr="00554B1C">
              <w:rPr>
                <w:rFonts w:ascii="Arial" w:hAnsi="Arial" w:cs="Arial"/>
                <w:sz w:val="16"/>
                <w:szCs w:val="16"/>
              </w:rPr>
              <w:t>Education and training students for immediate work in hunting. After graduation, the student is able to develop and apply their knowledge of the field of hunting and hunting economy.</w:t>
            </w:r>
          </w:p>
        </w:tc>
      </w:tr>
      <w:tr w:rsidR="005E42D1" w:rsidTr="002F0738">
        <w:tc>
          <w:tcPr>
            <w:tcW w:w="9747" w:type="dxa"/>
            <w:gridSpan w:val="12"/>
          </w:tcPr>
          <w:p w:rsidR="005E42D1" w:rsidRPr="00554B1C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54B1C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E15D23" w:rsidRPr="00554B1C" w:rsidRDefault="00E15D23" w:rsidP="00E15D23">
            <w:pPr>
              <w:rPr>
                <w:rFonts w:ascii="Arial" w:hAnsi="Arial" w:cs="Arial"/>
                <w:sz w:val="16"/>
                <w:szCs w:val="16"/>
              </w:rPr>
            </w:pPr>
            <w:r w:rsidRPr="00554B1C">
              <w:rPr>
                <w:rFonts w:ascii="Arial" w:hAnsi="Arial" w:cs="Arial"/>
                <w:sz w:val="16"/>
                <w:szCs w:val="16"/>
              </w:rPr>
              <w:t>The formation of professionals with academic qualifications who has significantly broadened and deepened knowledge necessary for understanding the scientific basis of hunting and hunting economy. Acquired knowledge of the student</w:t>
            </w:r>
          </w:p>
          <w:p w:rsidR="005E42D1" w:rsidRPr="00554B1C" w:rsidRDefault="00E15D23" w:rsidP="00E15D23">
            <w:pPr>
              <w:rPr>
                <w:rFonts w:ascii="Arial" w:hAnsi="Arial" w:cs="Arial"/>
                <w:sz w:val="16"/>
                <w:szCs w:val="16"/>
              </w:rPr>
            </w:pPr>
            <w:r w:rsidRPr="00554B1C">
              <w:rPr>
                <w:rFonts w:ascii="Arial" w:hAnsi="Arial" w:cs="Arial"/>
                <w:sz w:val="16"/>
                <w:szCs w:val="16"/>
              </w:rPr>
              <w:t>completed undergraduate studies provides expertise to work in hunting and hunting economy.</w:t>
            </w:r>
          </w:p>
        </w:tc>
      </w:tr>
      <w:tr w:rsidR="005E42D1" w:rsidTr="002F0738">
        <w:tc>
          <w:tcPr>
            <w:tcW w:w="9747" w:type="dxa"/>
            <w:gridSpan w:val="12"/>
          </w:tcPr>
          <w:p w:rsidR="005E42D1" w:rsidRPr="00554B1C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54B1C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554B1C" w:rsidRDefault="00E15D23" w:rsidP="009E0930">
            <w:pPr>
              <w:rPr>
                <w:rFonts w:ascii="Arial" w:hAnsi="Arial" w:cs="Arial"/>
                <w:sz w:val="16"/>
                <w:szCs w:val="16"/>
              </w:rPr>
            </w:pPr>
            <w:r w:rsidRPr="00554B1C">
              <w:rPr>
                <w:rFonts w:ascii="Arial" w:hAnsi="Arial" w:cs="Arial"/>
                <w:sz w:val="16"/>
                <w:szCs w:val="16"/>
              </w:rPr>
              <w:t xml:space="preserve">Introduction: Hunting as a science and profession. Hunting through the ages, a brief history of the development of hunting and hunting;  </w:t>
            </w:r>
            <w:proofErr w:type="spellStart"/>
            <w:r w:rsidRPr="00554B1C">
              <w:rPr>
                <w:rFonts w:ascii="Arial" w:hAnsi="Arial" w:cs="Arial"/>
                <w:sz w:val="16"/>
                <w:szCs w:val="16"/>
              </w:rPr>
              <w:t>Biologygame</w:t>
            </w:r>
            <w:proofErr w:type="spellEnd"/>
            <w:r w:rsidRPr="00554B1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554B1C">
              <w:rPr>
                <w:rFonts w:ascii="Arial" w:hAnsi="Arial" w:cs="Arial"/>
                <w:sz w:val="16"/>
                <w:szCs w:val="16"/>
              </w:rPr>
              <w:t>Systematics</w:t>
            </w:r>
            <w:proofErr w:type="spellEnd"/>
            <w:r w:rsidRPr="00554B1C">
              <w:rPr>
                <w:rFonts w:ascii="Arial" w:hAnsi="Arial" w:cs="Arial"/>
                <w:sz w:val="16"/>
                <w:szCs w:val="16"/>
              </w:rPr>
              <w:t xml:space="preserve"> game. The legal classification of wildlife and hunting; Planning and organization hunting management: Annual management plan. hunting ground term, quality, quality evaluation. Fenced hunting grounds, Zoo. Hunting and breeding centers; Cultivation of the game: Payment game breeding. Growing wild in farms (farms). Customizing game produced in farms for resettlement to the hunting grounds; Nutrition and game nutrition.- Basic features for the game. Nutrients nutrition</w:t>
            </w:r>
            <w:r w:rsidR="009E0930" w:rsidRPr="00554B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B1C">
              <w:rPr>
                <w:rFonts w:ascii="Arial" w:hAnsi="Arial" w:cs="Arial"/>
                <w:sz w:val="16"/>
                <w:szCs w:val="16"/>
              </w:rPr>
              <w:t>game. Needs in nutrients and food for certain species of wildlife; Payment (techniques) hunting:</w:t>
            </w:r>
            <w:r w:rsidR="009E0930" w:rsidRPr="00554B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B1C">
              <w:rPr>
                <w:rFonts w:ascii="Arial" w:hAnsi="Arial" w:cs="Arial"/>
                <w:sz w:val="16"/>
                <w:szCs w:val="16"/>
              </w:rPr>
              <w:t>The process of the harvested game. Capture and transport of wildlife.</w:t>
            </w:r>
            <w:r w:rsidR="009E0930" w:rsidRPr="00554B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B1C">
              <w:rPr>
                <w:rFonts w:ascii="Arial" w:hAnsi="Arial" w:cs="Arial"/>
                <w:sz w:val="16"/>
                <w:szCs w:val="16"/>
              </w:rPr>
              <w:t>Hunting legislation, regulations and hunting ethics; Hunting weapons, ammunition and ballistics: History of development</w:t>
            </w:r>
            <w:r w:rsidR="009E0930" w:rsidRPr="00554B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B1C">
              <w:rPr>
                <w:rFonts w:ascii="Arial" w:hAnsi="Arial" w:cs="Arial"/>
                <w:sz w:val="16"/>
                <w:szCs w:val="16"/>
              </w:rPr>
              <w:t xml:space="preserve">weapons. Types of hunting weapons and ammunition; </w:t>
            </w:r>
            <w:proofErr w:type="spellStart"/>
            <w:r w:rsidR="009E0930" w:rsidRPr="00554B1C">
              <w:rPr>
                <w:rFonts w:ascii="Arial" w:hAnsi="Arial" w:cs="Arial"/>
                <w:sz w:val="16"/>
                <w:szCs w:val="16"/>
              </w:rPr>
              <w:t>Cynology</w:t>
            </w:r>
            <w:proofErr w:type="spellEnd"/>
            <w:r w:rsidRPr="00554B1C">
              <w:rPr>
                <w:rFonts w:ascii="Arial" w:hAnsi="Arial" w:cs="Arial"/>
                <w:sz w:val="16"/>
                <w:szCs w:val="16"/>
              </w:rPr>
              <w:t>: Dog Breeds. Cultivation of dogs, feeding, breeding,</w:t>
            </w:r>
            <w:r w:rsidR="009E0930" w:rsidRPr="00554B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B1C">
              <w:rPr>
                <w:rFonts w:ascii="Arial" w:hAnsi="Arial" w:cs="Arial"/>
                <w:sz w:val="16"/>
                <w:szCs w:val="16"/>
              </w:rPr>
              <w:t>Training and disease; Game trophies: Preparation and processing of trophies. Evaluation of trophies. Hunting exhibitions;</w:t>
            </w:r>
            <w:r w:rsidR="009E0930" w:rsidRPr="00554B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B1C">
              <w:rPr>
                <w:rFonts w:ascii="Arial" w:hAnsi="Arial" w:cs="Arial"/>
                <w:sz w:val="16"/>
                <w:szCs w:val="16"/>
              </w:rPr>
              <w:t>Conservation and wildlife diseases</w:t>
            </w:r>
          </w:p>
          <w:p w:rsidR="009E0930" w:rsidRPr="00554B1C" w:rsidRDefault="009E0930" w:rsidP="009E0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930" w:rsidRPr="00554B1C" w:rsidRDefault="009E0930" w:rsidP="009E0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930" w:rsidRPr="00554B1C" w:rsidRDefault="009E0930" w:rsidP="009E0930">
            <w:pPr>
              <w:rPr>
                <w:rFonts w:ascii="Arial" w:hAnsi="Arial" w:cs="Arial"/>
                <w:sz w:val="16"/>
                <w:szCs w:val="16"/>
              </w:rPr>
            </w:pPr>
            <w:r w:rsidRPr="00554B1C">
              <w:rPr>
                <w:rFonts w:ascii="Arial" w:hAnsi="Arial" w:cs="Arial"/>
                <w:sz w:val="16"/>
                <w:szCs w:val="16"/>
              </w:rPr>
              <w:t>Biology game: Recognizing game on slides and slides; Breading and organizations management: Elements of making hunting</w:t>
            </w:r>
            <w:r w:rsidR="00554B1C" w:rsidRPr="00554B1C">
              <w:rPr>
                <w:rFonts w:ascii="Arial" w:hAnsi="Arial" w:cs="Arial"/>
                <w:sz w:val="16"/>
                <w:szCs w:val="16"/>
              </w:rPr>
              <w:t xml:space="preserve"> ground</w:t>
            </w:r>
            <w:r w:rsidRPr="00554B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B1C" w:rsidRPr="00554B1C">
              <w:rPr>
                <w:rFonts w:ascii="Arial" w:hAnsi="Arial" w:cs="Arial"/>
                <w:sz w:val="16"/>
                <w:szCs w:val="16"/>
              </w:rPr>
              <w:t xml:space="preserve">millstone, </w:t>
            </w:r>
            <w:r w:rsidRPr="00554B1C">
              <w:rPr>
                <w:rFonts w:ascii="Arial" w:hAnsi="Arial" w:cs="Arial"/>
                <w:sz w:val="16"/>
                <w:szCs w:val="16"/>
              </w:rPr>
              <w:t xml:space="preserve"> annual plan. Technique </w:t>
            </w:r>
            <w:proofErr w:type="spellStart"/>
            <w:r w:rsidRPr="00554B1C">
              <w:rPr>
                <w:rFonts w:ascii="Arial" w:hAnsi="Arial" w:cs="Arial"/>
                <w:sz w:val="16"/>
                <w:szCs w:val="16"/>
              </w:rPr>
              <w:t>bonitation</w:t>
            </w:r>
            <w:proofErr w:type="spellEnd"/>
            <w:r w:rsidRPr="00554B1C">
              <w:rPr>
                <w:rFonts w:ascii="Arial" w:hAnsi="Arial" w:cs="Arial"/>
                <w:sz w:val="16"/>
                <w:szCs w:val="16"/>
              </w:rPr>
              <w:t xml:space="preserve"> hunting grounds. The organization and technique of determining the number of game; Cultivation of the game: field work with the aim of familiarization with the manner of wildlife breeding, hunting areas, farms, farm wildlife, hunting and breeding</w:t>
            </w:r>
            <w:r w:rsidR="00D53F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4B1C">
              <w:rPr>
                <w:rFonts w:ascii="Arial" w:hAnsi="Arial" w:cs="Arial"/>
                <w:sz w:val="16"/>
                <w:szCs w:val="16"/>
              </w:rPr>
              <w:t xml:space="preserve">technical facilities. Practical introduction to the types of weapons and ammunition; </w:t>
            </w:r>
            <w:proofErr w:type="spellStart"/>
            <w:r w:rsidR="00554B1C" w:rsidRPr="00554B1C">
              <w:rPr>
                <w:rFonts w:ascii="Arial" w:hAnsi="Arial" w:cs="Arial"/>
                <w:sz w:val="16"/>
                <w:szCs w:val="16"/>
              </w:rPr>
              <w:t>Cinology</w:t>
            </w:r>
            <w:proofErr w:type="spellEnd"/>
            <w:r w:rsidRPr="00554B1C">
              <w:rPr>
                <w:rFonts w:ascii="Arial" w:hAnsi="Arial" w:cs="Arial"/>
                <w:sz w:val="16"/>
                <w:szCs w:val="16"/>
              </w:rPr>
              <w:t>: Recognition</w:t>
            </w:r>
          </w:p>
          <w:p w:rsidR="009E0930" w:rsidRPr="00554B1C" w:rsidRDefault="009E0930" w:rsidP="009E0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930" w:rsidRPr="00554B1C" w:rsidRDefault="009E0930" w:rsidP="009E0930">
            <w:pPr>
              <w:rPr>
                <w:rFonts w:ascii="Arial" w:hAnsi="Arial" w:cs="Arial"/>
                <w:sz w:val="16"/>
                <w:szCs w:val="16"/>
              </w:rPr>
            </w:pPr>
            <w:r w:rsidRPr="00554B1C">
              <w:rPr>
                <w:rFonts w:ascii="Arial" w:hAnsi="Arial" w:cs="Arial"/>
                <w:sz w:val="16"/>
                <w:szCs w:val="16"/>
              </w:rPr>
              <w:t>dog breeds on slides; Game trophies: Practical evaluation.</w:t>
            </w:r>
          </w:p>
        </w:tc>
      </w:tr>
      <w:tr w:rsidR="005E42D1" w:rsidTr="002F0738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7F6053" w:rsidP="007F605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Lectures, Practice.</w:t>
            </w:r>
          </w:p>
        </w:tc>
      </w:tr>
      <w:tr w:rsidR="005E42D1" w:rsidTr="002F0738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7F605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7F605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D02E1F" w:rsidRDefault="009D56EA" w:rsidP="009D56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</w:t>
            </w:r>
            <w:r w:rsidR="00D02E1F" w:rsidRPr="00D02E1F">
              <w:rPr>
                <w:rFonts w:ascii="Arial" w:hAnsi="Arial" w:cs="Arial"/>
                <w:i/>
                <w:sz w:val="14"/>
                <w:szCs w:val="14"/>
              </w:rPr>
              <w:t>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9D56E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7F605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7F605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36" w:type="dxa"/>
            <w:gridSpan w:val="6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7F605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7F605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36" w:type="dxa"/>
            <w:gridSpan w:val="6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2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5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9E0930" w:rsidTr="009E0930">
        <w:tc>
          <w:tcPr>
            <w:tcW w:w="675" w:type="dxa"/>
            <w:vAlign w:val="center"/>
          </w:tcPr>
          <w:p w:rsidR="009E0930" w:rsidRPr="00D02E1F" w:rsidRDefault="009E0930" w:rsidP="009E093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0930" w:rsidRPr="00D02E1F" w:rsidRDefault="009E0930" w:rsidP="009E0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2A">
              <w:rPr>
                <w:rFonts w:ascii="Arial" w:hAnsi="Arial" w:cs="Arial"/>
                <w:sz w:val="16"/>
                <w:szCs w:val="16"/>
              </w:rPr>
              <w:t xml:space="preserve">John A. </w:t>
            </w:r>
            <w:proofErr w:type="spellStart"/>
            <w:r w:rsidRPr="0065462A">
              <w:rPr>
                <w:rFonts w:ascii="Arial" w:hAnsi="Arial" w:cs="Arial"/>
                <w:sz w:val="16"/>
                <w:szCs w:val="16"/>
              </w:rPr>
              <w:t>Bissonette</w:t>
            </w:r>
            <w:proofErr w:type="spellEnd"/>
          </w:p>
        </w:tc>
        <w:tc>
          <w:tcPr>
            <w:tcW w:w="2694" w:type="dxa"/>
            <w:gridSpan w:val="4"/>
            <w:vAlign w:val="center"/>
          </w:tcPr>
          <w:p w:rsidR="009E0930" w:rsidRPr="00D02E1F" w:rsidRDefault="009E0930" w:rsidP="009E0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2A">
              <w:rPr>
                <w:rFonts w:ascii="Arial" w:hAnsi="Arial" w:cs="Arial"/>
                <w:sz w:val="16"/>
                <w:szCs w:val="16"/>
              </w:rPr>
              <w:t>Wildlife and Landscape Ecology: Effects of Pattern and Scale</w:t>
            </w:r>
          </w:p>
        </w:tc>
        <w:tc>
          <w:tcPr>
            <w:tcW w:w="3402" w:type="dxa"/>
            <w:gridSpan w:val="4"/>
            <w:vAlign w:val="center"/>
          </w:tcPr>
          <w:p w:rsidR="009E0930" w:rsidRPr="00D02E1F" w:rsidRDefault="009E0930" w:rsidP="009E0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2A">
              <w:rPr>
                <w:rFonts w:ascii="Arial" w:hAnsi="Arial" w:cs="Arial"/>
                <w:sz w:val="16"/>
                <w:szCs w:val="16"/>
              </w:rPr>
              <w:t>Springer Science &amp; Business Media,</w:t>
            </w:r>
          </w:p>
        </w:tc>
        <w:tc>
          <w:tcPr>
            <w:tcW w:w="1275" w:type="dxa"/>
            <w:vAlign w:val="center"/>
          </w:tcPr>
          <w:p w:rsidR="009E0930" w:rsidRPr="00D02E1F" w:rsidRDefault="009E0930" w:rsidP="009E0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</w:tr>
      <w:tr w:rsidR="009E0930" w:rsidTr="009E0930">
        <w:tc>
          <w:tcPr>
            <w:tcW w:w="675" w:type="dxa"/>
            <w:vAlign w:val="center"/>
          </w:tcPr>
          <w:p w:rsidR="009E0930" w:rsidRPr="00D02E1F" w:rsidRDefault="009E0930" w:rsidP="009E093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0930" w:rsidRPr="00D02E1F" w:rsidRDefault="009E0930" w:rsidP="009E0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2A">
              <w:rPr>
                <w:rFonts w:ascii="Arial" w:hAnsi="Arial" w:cs="Arial"/>
                <w:sz w:val="16"/>
                <w:szCs w:val="16"/>
              </w:rPr>
              <w:t xml:space="preserve">Rory Putman, Marco </w:t>
            </w:r>
            <w:proofErr w:type="spellStart"/>
            <w:r w:rsidRPr="0065462A">
              <w:rPr>
                <w:rFonts w:ascii="Arial" w:hAnsi="Arial" w:cs="Arial"/>
                <w:sz w:val="16"/>
                <w:szCs w:val="16"/>
              </w:rPr>
              <w:t>Apollonio</w:t>
            </w:r>
            <w:proofErr w:type="spellEnd"/>
            <w:r w:rsidRPr="0065462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5462A">
              <w:rPr>
                <w:rFonts w:ascii="Arial" w:hAnsi="Arial" w:cs="Arial"/>
                <w:sz w:val="16"/>
                <w:szCs w:val="16"/>
              </w:rPr>
              <w:t>Reidar</w:t>
            </w:r>
            <w:proofErr w:type="spellEnd"/>
            <w:r w:rsidRPr="0065462A">
              <w:rPr>
                <w:rFonts w:ascii="Arial" w:hAnsi="Arial" w:cs="Arial"/>
                <w:sz w:val="16"/>
                <w:szCs w:val="16"/>
              </w:rPr>
              <w:t xml:space="preserve"> Andersen</w:t>
            </w:r>
          </w:p>
        </w:tc>
        <w:tc>
          <w:tcPr>
            <w:tcW w:w="2694" w:type="dxa"/>
            <w:gridSpan w:val="4"/>
            <w:vAlign w:val="center"/>
          </w:tcPr>
          <w:p w:rsidR="009E0930" w:rsidRPr="00D02E1F" w:rsidRDefault="009E0930" w:rsidP="009E0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2A">
              <w:rPr>
                <w:rFonts w:ascii="Arial" w:hAnsi="Arial" w:cs="Arial"/>
                <w:sz w:val="16"/>
                <w:szCs w:val="16"/>
              </w:rPr>
              <w:t>European Ungulates and Their Management in the 21st Century</w:t>
            </w:r>
          </w:p>
        </w:tc>
        <w:tc>
          <w:tcPr>
            <w:tcW w:w="3402" w:type="dxa"/>
            <w:gridSpan w:val="4"/>
            <w:vAlign w:val="center"/>
          </w:tcPr>
          <w:p w:rsidR="009E0930" w:rsidRPr="00D02E1F" w:rsidRDefault="009E0930" w:rsidP="009E0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62A">
              <w:rPr>
                <w:rFonts w:ascii="Arial" w:hAnsi="Arial" w:cs="Arial"/>
                <w:sz w:val="16"/>
                <w:szCs w:val="16"/>
              </w:rPr>
              <w:t>Cambridge University Press</w:t>
            </w:r>
          </w:p>
        </w:tc>
        <w:tc>
          <w:tcPr>
            <w:tcW w:w="1275" w:type="dxa"/>
            <w:vAlign w:val="center"/>
          </w:tcPr>
          <w:p w:rsidR="009E0930" w:rsidRPr="00D02E1F" w:rsidRDefault="009E0930" w:rsidP="009E0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1E4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1E42A5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 w:rsidP="00CC5866"/>
    <w:sectPr w:rsidR="001312B9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/>
  <w:rsids>
    <w:rsidRoot w:val="00255EDE"/>
    <w:rsid w:val="0008374A"/>
    <w:rsid w:val="001312B9"/>
    <w:rsid w:val="001E42A5"/>
    <w:rsid w:val="001F34D7"/>
    <w:rsid w:val="002319BC"/>
    <w:rsid w:val="00255EDE"/>
    <w:rsid w:val="00255F99"/>
    <w:rsid w:val="002611DF"/>
    <w:rsid w:val="00296294"/>
    <w:rsid w:val="002E747D"/>
    <w:rsid w:val="002F0738"/>
    <w:rsid w:val="00322F84"/>
    <w:rsid w:val="00333E7F"/>
    <w:rsid w:val="004666C8"/>
    <w:rsid w:val="004C1CC6"/>
    <w:rsid w:val="004E3944"/>
    <w:rsid w:val="00513136"/>
    <w:rsid w:val="00535E50"/>
    <w:rsid w:val="00554B1C"/>
    <w:rsid w:val="005559C8"/>
    <w:rsid w:val="00597157"/>
    <w:rsid w:val="005E42D1"/>
    <w:rsid w:val="00627B68"/>
    <w:rsid w:val="007F6053"/>
    <w:rsid w:val="008F548C"/>
    <w:rsid w:val="00927F2D"/>
    <w:rsid w:val="009B28FB"/>
    <w:rsid w:val="009D56EA"/>
    <w:rsid w:val="009E0930"/>
    <w:rsid w:val="009E2BF4"/>
    <w:rsid w:val="00AE67EE"/>
    <w:rsid w:val="00C21CE9"/>
    <w:rsid w:val="00CC0E96"/>
    <w:rsid w:val="00CC5866"/>
    <w:rsid w:val="00CC7AA9"/>
    <w:rsid w:val="00CD3D20"/>
    <w:rsid w:val="00D02E1F"/>
    <w:rsid w:val="00D05338"/>
    <w:rsid w:val="00D21EFD"/>
    <w:rsid w:val="00D53FC8"/>
    <w:rsid w:val="00D554D7"/>
    <w:rsid w:val="00D56F7B"/>
    <w:rsid w:val="00D57E7D"/>
    <w:rsid w:val="00DC0693"/>
    <w:rsid w:val="00DF0ABC"/>
    <w:rsid w:val="00E15D23"/>
    <w:rsid w:val="00EE48F1"/>
    <w:rsid w:val="00F75DE6"/>
    <w:rsid w:val="00F87FB0"/>
    <w:rsid w:val="00FD4424"/>
    <w:rsid w:val="00FE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MIloš</cp:lastModifiedBy>
  <cp:revision>4</cp:revision>
  <dcterms:created xsi:type="dcterms:W3CDTF">2015-01-16T00:14:00Z</dcterms:created>
  <dcterms:modified xsi:type="dcterms:W3CDTF">2015-01-16T06:49:00Z</dcterms:modified>
</cp:coreProperties>
</file>