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5E42E8" w:rsidRPr="005E42E8" w:rsidRDefault="005E42E8" w:rsidP="005E42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E42E8">
              <w:rPr>
                <w:rFonts w:ascii="Arial" w:hAnsi="Arial" w:cs="Arial"/>
                <w:i/>
                <w:sz w:val="18"/>
                <w:szCs w:val="18"/>
              </w:rPr>
              <w:t>NONCONVECTIONAL ANIMAL</w:t>
            </w:r>
          </w:p>
          <w:p w:rsidR="009E2BF4" w:rsidRPr="009E2BF4" w:rsidRDefault="005E42E8" w:rsidP="005E42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E42E8">
              <w:rPr>
                <w:rFonts w:ascii="Arial" w:hAnsi="Arial" w:cs="Arial"/>
                <w:i/>
                <w:sz w:val="18"/>
                <w:szCs w:val="18"/>
              </w:rPr>
              <w:t>PRODUCTION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5E42E8">
              <w:t xml:space="preserve"> </w:t>
            </w:r>
            <w:r w:rsidR="005E42E8" w:rsidRPr="005E42E8">
              <w:rPr>
                <w:rFonts w:ascii="Arial" w:hAnsi="Arial" w:cs="Arial"/>
                <w:sz w:val="16"/>
                <w:szCs w:val="16"/>
              </w:rPr>
              <w:t>3OСT4O18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E42E8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C6599F" w:rsidP="00910B21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Niko</w:t>
            </w:r>
            <w:proofErr w:type="spellEnd"/>
            <w:r>
              <w:t xml:space="preserve"> </w:t>
            </w:r>
            <w:proofErr w:type="spellStart"/>
            <w:r>
              <w:t>Milošević</w:t>
            </w:r>
            <w:proofErr w:type="spellEnd"/>
            <w:r>
              <w:t xml:space="preserve">, </w:t>
            </w:r>
            <w:proofErr w:type="spellStart"/>
            <w:r>
              <w:t>MSc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  <w:r>
              <w:t xml:space="preserve"> </w:t>
            </w:r>
            <w:proofErr w:type="spellStart"/>
            <w:r>
              <w:t>Bjedov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C6599F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65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6599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65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6599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FA037A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6B0332" w:rsidRPr="006B0332" w:rsidRDefault="006B0332" w:rsidP="00FA037A">
            <w:pPr>
              <w:jc w:val="both"/>
              <w:rPr>
                <w:sz w:val="18"/>
                <w:szCs w:val="18"/>
              </w:rPr>
            </w:pPr>
            <w:r w:rsidRPr="006B0332">
              <w:rPr>
                <w:sz w:val="18"/>
                <w:szCs w:val="18"/>
              </w:rPr>
              <w:t>Introducing student</w:t>
            </w:r>
            <w:r>
              <w:rPr>
                <w:sz w:val="18"/>
                <w:szCs w:val="18"/>
              </w:rPr>
              <w:t>s to the characteristics of non</w:t>
            </w:r>
            <w:r w:rsidRPr="006B0332">
              <w:rPr>
                <w:sz w:val="18"/>
                <w:szCs w:val="18"/>
              </w:rPr>
              <w:t xml:space="preserve">conventional </w:t>
            </w:r>
            <w:r>
              <w:rPr>
                <w:sz w:val="18"/>
                <w:szCs w:val="18"/>
              </w:rPr>
              <w:t>animal</w:t>
            </w:r>
            <w:r w:rsidRPr="006B0332">
              <w:rPr>
                <w:sz w:val="18"/>
                <w:szCs w:val="18"/>
              </w:rPr>
              <w:t xml:space="preserve"> production (rabbit, quail, pigeons,</w:t>
            </w:r>
          </w:p>
          <w:p w:rsidR="006B0332" w:rsidRPr="006B0332" w:rsidRDefault="006B0332" w:rsidP="00FA037A">
            <w:pPr>
              <w:jc w:val="both"/>
              <w:rPr>
                <w:sz w:val="18"/>
                <w:szCs w:val="18"/>
              </w:rPr>
            </w:pPr>
            <w:proofErr w:type="gramStart"/>
            <w:r w:rsidRPr="006B0332">
              <w:rPr>
                <w:sz w:val="18"/>
                <w:szCs w:val="18"/>
              </w:rPr>
              <w:t>worms</w:t>
            </w:r>
            <w:proofErr w:type="gramEnd"/>
            <w:r w:rsidRPr="006B0332">
              <w:rPr>
                <w:sz w:val="18"/>
                <w:szCs w:val="18"/>
              </w:rPr>
              <w:t>) to the possibility of their intensive and large-scale cultivation for commercial purposes. Upon completion of the basic</w:t>
            </w:r>
          </w:p>
          <w:p w:rsidR="006B0332" w:rsidRPr="006B0332" w:rsidRDefault="006B0332" w:rsidP="00FA037A">
            <w:pPr>
              <w:jc w:val="both"/>
              <w:rPr>
                <w:sz w:val="18"/>
                <w:szCs w:val="18"/>
              </w:rPr>
            </w:pPr>
            <w:r w:rsidRPr="006B0332">
              <w:rPr>
                <w:sz w:val="18"/>
                <w:szCs w:val="18"/>
              </w:rPr>
              <w:t>academic studies, educated professionals capable of professional work and the application of technological advances in</w:t>
            </w:r>
          </w:p>
          <w:p w:rsidR="005E42D1" w:rsidRDefault="00230EAA" w:rsidP="00FA037A">
            <w:pPr>
              <w:jc w:val="both"/>
            </w:pPr>
            <w:proofErr w:type="gramStart"/>
            <w:r>
              <w:rPr>
                <w:sz w:val="18"/>
                <w:szCs w:val="18"/>
              </w:rPr>
              <w:t>non</w:t>
            </w:r>
            <w:r w:rsidR="006B0332" w:rsidRPr="006B0332">
              <w:rPr>
                <w:sz w:val="18"/>
                <w:szCs w:val="18"/>
              </w:rPr>
              <w:t>conventional</w:t>
            </w:r>
            <w:proofErr w:type="gramEnd"/>
            <w:r w:rsidR="006B0332" w:rsidRPr="006B0332">
              <w:rPr>
                <w:sz w:val="18"/>
                <w:szCs w:val="18"/>
              </w:rPr>
              <w:t xml:space="preserve"> livestock production</w:t>
            </w:r>
            <w:r w:rsidR="006B0332">
              <w:rPr>
                <w:sz w:val="18"/>
                <w:szCs w:val="18"/>
              </w:rPr>
              <w:t>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FA037A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6B0332" w:rsidRPr="006B0332" w:rsidRDefault="006B0332" w:rsidP="00FA037A">
            <w:pPr>
              <w:jc w:val="both"/>
              <w:rPr>
                <w:sz w:val="18"/>
                <w:szCs w:val="18"/>
              </w:rPr>
            </w:pPr>
            <w:r w:rsidRPr="006B0332">
              <w:rPr>
                <w:sz w:val="18"/>
                <w:szCs w:val="18"/>
              </w:rPr>
              <w:t>Professional training of professionals with academic qualifications, who are trained to be based on a wider knowledge</w:t>
            </w:r>
          </w:p>
          <w:p w:rsidR="006B0332" w:rsidRPr="006B0332" w:rsidRDefault="006B0332" w:rsidP="00FA037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</w:t>
            </w:r>
            <w:proofErr w:type="gramEnd"/>
            <w:r>
              <w:rPr>
                <w:sz w:val="18"/>
                <w:szCs w:val="18"/>
              </w:rPr>
              <w:t xml:space="preserve"> the field of non</w:t>
            </w:r>
            <w:r w:rsidRPr="006B0332">
              <w:rPr>
                <w:sz w:val="18"/>
                <w:szCs w:val="18"/>
              </w:rPr>
              <w:t xml:space="preserve">conventional </w:t>
            </w:r>
            <w:r>
              <w:rPr>
                <w:sz w:val="18"/>
                <w:szCs w:val="18"/>
              </w:rPr>
              <w:t>animal</w:t>
            </w:r>
            <w:r w:rsidRPr="006B0332">
              <w:rPr>
                <w:sz w:val="18"/>
                <w:szCs w:val="18"/>
              </w:rPr>
              <w:t xml:space="preserve"> production, with special practical and scientific preparation, engage in professional work in</w:t>
            </w:r>
            <w:r>
              <w:rPr>
                <w:sz w:val="18"/>
                <w:szCs w:val="18"/>
              </w:rPr>
              <w:t xml:space="preserve"> </w:t>
            </w:r>
            <w:r w:rsidRPr="006B0332">
              <w:rPr>
                <w:sz w:val="18"/>
                <w:szCs w:val="18"/>
              </w:rPr>
              <w:t>given technological field. The knowledge gained academic bachelor's degree gives academics expert</w:t>
            </w:r>
          </w:p>
          <w:p w:rsidR="006B0332" w:rsidRPr="006B0332" w:rsidRDefault="006B0332" w:rsidP="00FA037A">
            <w:pPr>
              <w:jc w:val="both"/>
              <w:rPr>
                <w:sz w:val="18"/>
                <w:szCs w:val="18"/>
              </w:rPr>
            </w:pPr>
            <w:r w:rsidRPr="006B0332">
              <w:rPr>
                <w:sz w:val="18"/>
                <w:szCs w:val="18"/>
              </w:rPr>
              <w:t>competency and skills of application of the extended knowledge of successful organizing and conducting unconventional</w:t>
            </w:r>
          </w:p>
          <w:p w:rsidR="005E42D1" w:rsidRDefault="006B0332" w:rsidP="00FA037A">
            <w:pPr>
              <w:jc w:val="both"/>
            </w:pPr>
            <w:proofErr w:type="gramStart"/>
            <w:r>
              <w:rPr>
                <w:sz w:val="18"/>
                <w:szCs w:val="18"/>
              </w:rPr>
              <w:t>animal</w:t>
            </w:r>
            <w:proofErr w:type="gramEnd"/>
            <w:r w:rsidRPr="006B0332">
              <w:rPr>
                <w:sz w:val="18"/>
                <w:szCs w:val="18"/>
              </w:rPr>
              <w:t xml:space="preserve"> production.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FA037A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7253EC" w:rsidRPr="007253EC" w:rsidRDefault="00FA037A" w:rsidP="00FA03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  <w:r w:rsidR="007253EC" w:rsidRPr="007253EC">
              <w:rPr>
                <w:sz w:val="18"/>
                <w:szCs w:val="18"/>
              </w:rPr>
              <w:t xml:space="preserve"> </w:t>
            </w:r>
            <w:r w:rsidR="007253E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7253EC">
              <w:rPr>
                <w:sz w:val="18"/>
                <w:szCs w:val="18"/>
              </w:rPr>
              <w:t>Importance of non</w:t>
            </w:r>
            <w:r w:rsidR="007253EC" w:rsidRPr="007253EC">
              <w:rPr>
                <w:sz w:val="18"/>
                <w:szCs w:val="18"/>
              </w:rPr>
              <w:t xml:space="preserve">conventional </w:t>
            </w:r>
            <w:r w:rsidR="007253EC">
              <w:rPr>
                <w:sz w:val="18"/>
                <w:szCs w:val="18"/>
              </w:rPr>
              <w:t>animal</w:t>
            </w:r>
            <w:r w:rsidR="007253EC" w:rsidRPr="007253EC">
              <w:rPr>
                <w:sz w:val="18"/>
                <w:szCs w:val="18"/>
              </w:rPr>
              <w:t xml:space="preserve"> production. Types and breeds of livestock that are grown</w:t>
            </w:r>
          </w:p>
          <w:p w:rsidR="007253EC" w:rsidRPr="007253EC" w:rsidRDefault="007253EC" w:rsidP="00FA037A">
            <w:pPr>
              <w:jc w:val="both"/>
              <w:rPr>
                <w:sz w:val="18"/>
                <w:szCs w:val="18"/>
              </w:rPr>
            </w:pPr>
            <w:proofErr w:type="gramStart"/>
            <w:r w:rsidRPr="007253EC">
              <w:rPr>
                <w:sz w:val="18"/>
                <w:szCs w:val="18"/>
              </w:rPr>
              <w:t>organized</w:t>
            </w:r>
            <w:proofErr w:type="gramEnd"/>
            <w:r w:rsidRPr="007253EC">
              <w:rPr>
                <w:sz w:val="18"/>
                <w:szCs w:val="18"/>
              </w:rPr>
              <w:t xml:space="preserve"> (rabbits, , quail, pigeons, ratites, sn</w:t>
            </w:r>
            <w:r>
              <w:rPr>
                <w:sz w:val="18"/>
                <w:szCs w:val="18"/>
              </w:rPr>
              <w:t>ails, silkworms, earthworms). B</w:t>
            </w:r>
            <w:r w:rsidRPr="007253EC">
              <w:rPr>
                <w:sz w:val="18"/>
                <w:szCs w:val="18"/>
              </w:rPr>
              <w:t>iological</w:t>
            </w:r>
            <w:r>
              <w:rPr>
                <w:sz w:val="18"/>
                <w:szCs w:val="18"/>
              </w:rPr>
              <w:t xml:space="preserve"> characteristics. </w:t>
            </w:r>
            <w:r w:rsidRPr="007253EC">
              <w:rPr>
                <w:sz w:val="18"/>
                <w:szCs w:val="18"/>
              </w:rPr>
              <w:t>The possibility of organized cultivation of small and</w:t>
            </w:r>
            <w:r>
              <w:rPr>
                <w:sz w:val="18"/>
                <w:szCs w:val="18"/>
              </w:rPr>
              <w:t xml:space="preserve"> </w:t>
            </w:r>
            <w:r w:rsidRPr="007253EC">
              <w:rPr>
                <w:sz w:val="18"/>
                <w:szCs w:val="18"/>
              </w:rPr>
              <w:t>useful animals for market needs. Methods of providing conditions of growing small and useful animals. Reproduction and feeding of small and useful</w:t>
            </w:r>
            <w:r>
              <w:rPr>
                <w:sz w:val="18"/>
                <w:szCs w:val="18"/>
              </w:rPr>
              <w:t xml:space="preserve"> </w:t>
            </w:r>
            <w:r w:rsidRPr="007253EC">
              <w:rPr>
                <w:sz w:val="18"/>
                <w:szCs w:val="18"/>
              </w:rPr>
              <w:t>animals. The te</w:t>
            </w:r>
            <w:r w:rsidR="00230EAA">
              <w:rPr>
                <w:sz w:val="18"/>
                <w:szCs w:val="18"/>
              </w:rPr>
              <w:t>chnology of breeding animals in</w:t>
            </w:r>
            <w:r>
              <w:rPr>
                <w:sz w:val="18"/>
                <w:szCs w:val="18"/>
              </w:rPr>
              <w:t xml:space="preserve"> non</w:t>
            </w:r>
            <w:r w:rsidRPr="007253EC">
              <w:rPr>
                <w:sz w:val="18"/>
                <w:szCs w:val="18"/>
              </w:rPr>
              <w:t xml:space="preserve">conventional </w:t>
            </w:r>
            <w:r>
              <w:rPr>
                <w:sz w:val="18"/>
                <w:szCs w:val="18"/>
              </w:rPr>
              <w:t>animal</w:t>
            </w:r>
            <w:r w:rsidRPr="007253EC">
              <w:rPr>
                <w:sz w:val="18"/>
                <w:szCs w:val="18"/>
              </w:rPr>
              <w:t xml:space="preserve"> </w:t>
            </w:r>
            <w:proofErr w:type="gramStart"/>
            <w:r w:rsidRPr="007253EC">
              <w:rPr>
                <w:sz w:val="18"/>
                <w:szCs w:val="18"/>
              </w:rPr>
              <w:t>production .</w:t>
            </w:r>
            <w:proofErr w:type="gramEnd"/>
            <w:r w:rsidRPr="007253EC">
              <w:rPr>
                <w:sz w:val="18"/>
                <w:szCs w:val="18"/>
              </w:rPr>
              <w:t xml:space="preserve"> </w:t>
            </w:r>
          </w:p>
          <w:p w:rsidR="005E42D1" w:rsidRDefault="007253EC" w:rsidP="00FA037A">
            <w:pPr>
              <w:jc w:val="both"/>
            </w:pPr>
            <w:r w:rsidRPr="007253EC">
              <w:rPr>
                <w:sz w:val="18"/>
                <w:szCs w:val="18"/>
              </w:rPr>
              <w:t xml:space="preserve">Practical classes - Zoological features </w:t>
            </w:r>
            <w:r>
              <w:rPr>
                <w:sz w:val="18"/>
                <w:szCs w:val="18"/>
              </w:rPr>
              <w:t xml:space="preserve">of </w:t>
            </w:r>
            <w:r w:rsidRPr="007253EC">
              <w:rPr>
                <w:sz w:val="18"/>
                <w:szCs w:val="18"/>
              </w:rPr>
              <w:t xml:space="preserve">animals from </w:t>
            </w:r>
            <w:r>
              <w:rPr>
                <w:sz w:val="18"/>
                <w:szCs w:val="18"/>
              </w:rPr>
              <w:t>non</w:t>
            </w:r>
            <w:r w:rsidRPr="007253EC">
              <w:rPr>
                <w:sz w:val="18"/>
                <w:szCs w:val="18"/>
              </w:rPr>
              <w:t xml:space="preserve">conventional production. Methods of controlling the productivity of livestock in </w:t>
            </w:r>
            <w:r>
              <w:rPr>
                <w:sz w:val="18"/>
                <w:szCs w:val="18"/>
              </w:rPr>
              <w:t>non</w:t>
            </w:r>
            <w:r w:rsidRPr="007253EC">
              <w:rPr>
                <w:sz w:val="18"/>
                <w:szCs w:val="18"/>
              </w:rPr>
              <w:t>conventional production.</w:t>
            </w:r>
            <w:r>
              <w:rPr>
                <w:sz w:val="18"/>
                <w:szCs w:val="18"/>
              </w:rPr>
              <w:t xml:space="preserve"> </w:t>
            </w:r>
            <w:r w:rsidRPr="007253EC">
              <w:rPr>
                <w:sz w:val="18"/>
                <w:szCs w:val="18"/>
              </w:rPr>
              <w:t xml:space="preserve">The application of technological methods of cultivation special program depending on the size of the unit housed </w:t>
            </w:r>
            <w:proofErr w:type="spellStart"/>
            <w:r w:rsidRPr="007253EC">
              <w:rPr>
                <w:sz w:val="18"/>
                <w:szCs w:val="18"/>
              </w:rPr>
              <w:t>animals.Field</w:t>
            </w:r>
            <w:proofErr w:type="spellEnd"/>
            <w:r w:rsidRPr="007253EC">
              <w:rPr>
                <w:sz w:val="18"/>
                <w:szCs w:val="18"/>
              </w:rPr>
              <w:t xml:space="preserve"> work with animals in </w:t>
            </w:r>
            <w:r>
              <w:rPr>
                <w:sz w:val="18"/>
                <w:szCs w:val="18"/>
              </w:rPr>
              <w:t>non</w:t>
            </w:r>
            <w:r w:rsidRPr="007253EC">
              <w:rPr>
                <w:sz w:val="18"/>
                <w:szCs w:val="18"/>
              </w:rPr>
              <w:t>conventional production.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FA037A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</w:t>
            </w:r>
            <w:r w:rsidR="00241787">
              <w:rPr>
                <w:rFonts w:ascii="Arial" w:hAnsi="Arial" w:cs="Arial"/>
                <w:sz w:val="16"/>
                <w:szCs w:val="16"/>
              </w:rPr>
              <w:t xml:space="preserve">ures, Practice, Consultations, </w:t>
            </w:r>
            <w:r w:rsidR="00FA037A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="007253EC" w:rsidRPr="005E42D1">
              <w:rPr>
                <w:rFonts w:ascii="Arial" w:hAnsi="Arial" w:cs="Arial"/>
                <w:sz w:val="16"/>
                <w:szCs w:val="16"/>
              </w:rPr>
              <w:t>work</w:t>
            </w:r>
            <w:r w:rsidR="007253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7253E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301DC8" w:rsidP="00301DC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 xml:space="preserve">Written part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and o</w:t>
            </w:r>
            <w:r w:rsidR="00D02E1F" w:rsidRPr="00D02E1F">
              <w:rPr>
                <w:rFonts w:ascii="Arial" w:hAnsi="Arial" w:cs="Arial"/>
                <w:i/>
                <w:sz w:val="14"/>
                <w:szCs w:val="14"/>
              </w:rPr>
              <w:t>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301DC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253E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253E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7253EC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7253EC">
              <w:rPr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301DC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5C5936" w:rsidTr="00D02E1F">
        <w:tc>
          <w:tcPr>
            <w:tcW w:w="675" w:type="dxa"/>
            <w:vAlign w:val="center"/>
          </w:tcPr>
          <w:p w:rsidR="005E42D1" w:rsidRPr="005C5936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5C5936" w:rsidRDefault="005C5936" w:rsidP="005C5936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Milošević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N., </w:t>
            </w:r>
            <w:proofErr w:type="spellStart"/>
            <w:r>
              <w:rPr>
                <w:rFonts w:cs="Arial"/>
                <w:sz w:val="16"/>
                <w:szCs w:val="16"/>
              </w:rPr>
              <w:t>Đukić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Stojčić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M., </w:t>
            </w:r>
            <w:proofErr w:type="spellStart"/>
            <w:r>
              <w:rPr>
                <w:rFonts w:cs="Arial"/>
                <w:sz w:val="16"/>
                <w:szCs w:val="16"/>
              </w:rPr>
              <w:t>Perić</w:t>
            </w:r>
            <w:proofErr w:type="spellEnd"/>
            <w:r>
              <w:rPr>
                <w:rFonts w:cs="Arial"/>
                <w:sz w:val="16"/>
                <w:szCs w:val="16"/>
              </w:rPr>
              <w:t>, L.</w:t>
            </w:r>
            <w:r w:rsidRPr="005C593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C5936">
              <w:rPr>
                <w:rFonts w:cs="Arial"/>
                <w:sz w:val="16"/>
                <w:szCs w:val="16"/>
              </w:rPr>
              <w:t>Gajenje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C5936">
              <w:rPr>
                <w:rFonts w:cs="Arial"/>
                <w:sz w:val="16"/>
                <w:szCs w:val="16"/>
              </w:rPr>
              <w:t>prepelica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>,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C5936">
              <w:rPr>
                <w:rFonts w:cs="Arial"/>
                <w:sz w:val="16"/>
                <w:szCs w:val="16"/>
              </w:rPr>
              <w:t>Poljoprivredni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C5936">
              <w:rPr>
                <w:rFonts w:cs="Arial"/>
                <w:sz w:val="16"/>
                <w:szCs w:val="16"/>
              </w:rPr>
              <w:t>fakultet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5E42D1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5C5936">
              <w:rPr>
                <w:rFonts w:cs="Arial"/>
                <w:sz w:val="16"/>
                <w:szCs w:val="16"/>
              </w:rPr>
              <w:t>2013.</w:t>
            </w:r>
          </w:p>
        </w:tc>
      </w:tr>
      <w:tr w:rsidR="00D02E1F" w:rsidRPr="005C5936" w:rsidTr="00D02E1F">
        <w:tc>
          <w:tcPr>
            <w:tcW w:w="675" w:type="dxa"/>
            <w:vAlign w:val="center"/>
          </w:tcPr>
          <w:p w:rsidR="00D02E1F" w:rsidRPr="005C5936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5936" w:rsidRPr="005C5936" w:rsidRDefault="005C5936" w:rsidP="005C5936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Mitrović</w:t>
            </w:r>
            <w:proofErr w:type="spellEnd"/>
            <w:r>
              <w:rPr>
                <w:rFonts w:cs="Arial"/>
                <w:sz w:val="16"/>
                <w:szCs w:val="16"/>
              </w:rPr>
              <w:t>, M.</w:t>
            </w:r>
          </w:p>
          <w:p w:rsidR="00D02E1F" w:rsidRPr="005C5936" w:rsidRDefault="00D02E1F" w:rsidP="005C593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5C5936" w:rsidRDefault="005C5936" w:rsidP="005C593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5C5936">
              <w:rPr>
                <w:rFonts w:cs="Arial"/>
                <w:sz w:val="16"/>
                <w:szCs w:val="16"/>
              </w:rPr>
              <w:t>Lumbrikiltura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 –</w:t>
            </w:r>
            <w:proofErr w:type="spellStart"/>
            <w:r w:rsidRPr="005C5936">
              <w:rPr>
                <w:rFonts w:cs="Arial"/>
                <w:sz w:val="16"/>
                <w:szCs w:val="16"/>
              </w:rPr>
              <w:t>gajenje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C5936">
              <w:rPr>
                <w:rFonts w:cs="Arial"/>
                <w:sz w:val="16"/>
                <w:szCs w:val="16"/>
              </w:rPr>
              <w:t>glista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D02E1F" w:rsidRPr="005C5936" w:rsidRDefault="005C5936" w:rsidP="00D02E1F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5C5936">
              <w:rPr>
                <w:rFonts w:cs="Arial"/>
                <w:sz w:val="16"/>
                <w:szCs w:val="16"/>
              </w:rPr>
              <w:t>Nolit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>, Beograd</w:t>
            </w:r>
          </w:p>
        </w:tc>
        <w:tc>
          <w:tcPr>
            <w:tcW w:w="1150" w:type="dxa"/>
            <w:vAlign w:val="center"/>
          </w:tcPr>
          <w:p w:rsidR="00D02E1F" w:rsidRPr="005C5936" w:rsidRDefault="005C5936" w:rsidP="00D02E1F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C5936">
              <w:rPr>
                <w:rFonts w:cs="Arial"/>
                <w:sz w:val="16"/>
                <w:szCs w:val="16"/>
              </w:rPr>
              <w:t>2010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5C5936" w:rsidRPr="005C5936" w:rsidTr="00D02E1F">
        <w:tc>
          <w:tcPr>
            <w:tcW w:w="675" w:type="dxa"/>
            <w:vAlign w:val="center"/>
          </w:tcPr>
          <w:p w:rsidR="005C5936" w:rsidRPr="005C5936" w:rsidRDefault="005C593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5936" w:rsidRPr="005C5936" w:rsidRDefault="005C5936" w:rsidP="005C5936">
            <w:pPr>
              <w:jc w:val="center"/>
              <w:rPr>
                <w:rFonts w:cs="Arial"/>
                <w:sz w:val="16"/>
                <w:szCs w:val="16"/>
              </w:rPr>
            </w:pPr>
            <w:r w:rsidRPr="005C5936">
              <w:rPr>
                <w:rFonts w:cs="Arial"/>
                <w:sz w:val="16"/>
                <w:szCs w:val="16"/>
                <w:lang w:val="de-DE"/>
              </w:rPr>
              <w:t>Aran</w:t>
            </w:r>
            <w:r>
              <w:rPr>
                <w:rFonts w:cs="Arial"/>
                <w:sz w:val="16"/>
                <w:szCs w:val="16"/>
                <w:lang w:val="de-DE"/>
              </w:rPr>
              <w:t>đ</w:t>
            </w:r>
            <w:r w:rsidRPr="005C5936">
              <w:rPr>
                <w:rFonts w:cs="Arial"/>
                <w:sz w:val="16"/>
                <w:szCs w:val="16"/>
                <w:lang w:val="de-DE"/>
              </w:rPr>
              <w:t>elović, M</w:t>
            </w:r>
            <w:r>
              <w:rPr>
                <w:rFonts w:cs="Arial"/>
                <w:sz w:val="16"/>
                <w:szCs w:val="16"/>
                <w:lang w:val="de-DE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5C5936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5C5936">
              <w:rPr>
                <w:rFonts w:cs="Arial"/>
                <w:sz w:val="16"/>
                <w:szCs w:val="16"/>
                <w:lang w:val="de-DE"/>
              </w:rPr>
              <w:t>Gajenje kunića</w:t>
            </w:r>
          </w:p>
        </w:tc>
        <w:tc>
          <w:tcPr>
            <w:tcW w:w="3661" w:type="dxa"/>
            <w:gridSpan w:val="4"/>
            <w:vAlign w:val="center"/>
          </w:tcPr>
          <w:p w:rsidR="005C5936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5C5936">
              <w:rPr>
                <w:rFonts w:cs="Arial"/>
                <w:sz w:val="16"/>
                <w:szCs w:val="16"/>
                <w:lang w:val="de-DE"/>
              </w:rPr>
              <w:t>Nolit, Beograd</w:t>
            </w:r>
          </w:p>
        </w:tc>
        <w:tc>
          <w:tcPr>
            <w:tcW w:w="1150" w:type="dxa"/>
            <w:vAlign w:val="center"/>
          </w:tcPr>
          <w:p w:rsidR="005C5936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5C5936">
              <w:rPr>
                <w:rFonts w:cs="Arial"/>
                <w:sz w:val="16"/>
                <w:szCs w:val="16"/>
                <w:lang w:val="de-DE"/>
              </w:rPr>
              <w:t>2010.</w:t>
            </w:r>
          </w:p>
        </w:tc>
      </w:tr>
      <w:tr w:rsidR="005C5936" w:rsidRPr="005C5936" w:rsidTr="00D02E1F">
        <w:tc>
          <w:tcPr>
            <w:tcW w:w="675" w:type="dxa"/>
            <w:vAlign w:val="center"/>
          </w:tcPr>
          <w:p w:rsidR="005C5936" w:rsidRPr="005C5936" w:rsidRDefault="005C593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5936" w:rsidRPr="005C5936" w:rsidRDefault="005C5936" w:rsidP="005C5936">
            <w:pPr>
              <w:jc w:val="center"/>
              <w:rPr>
                <w:rFonts w:cs="Arial"/>
                <w:sz w:val="16"/>
                <w:szCs w:val="16"/>
              </w:rPr>
            </w:pPr>
            <w:r w:rsidRPr="005C5936">
              <w:rPr>
                <w:rFonts w:cs="Arial"/>
                <w:sz w:val="16"/>
                <w:szCs w:val="16"/>
              </w:rPr>
              <w:t>Snow, C.</w:t>
            </w:r>
          </w:p>
        </w:tc>
        <w:tc>
          <w:tcPr>
            <w:tcW w:w="2435" w:type="dxa"/>
            <w:gridSpan w:val="3"/>
            <w:vAlign w:val="center"/>
          </w:tcPr>
          <w:p w:rsidR="005C5936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5C5936">
              <w:rPr>
                <w:rFonts w:cs="Arial"/>
                <w:sz w:val="16"/>
                <w:szCs w:val="16"/>
              </w:rPr>
              <w:t>Rabbit Keeping</w:t>
            </w:r>
          </w:p>
        </w:tc>
        <w:tc>
          <w:tcPr>
            <w:tcW w:w="3661" w:type="dxa"/>
            <w:gridSpan w:val="4"/>
            <w:vAlign w:val="center"/>
          </w:tcPr>
          <w:p w:rsidR="005C5936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C5936">
              <w:rPr>
                <w:rFonts w:cs="Arial"/>
                <w:sz w:val="16"/>
                <w:szCs w:val="16"/>
              </w:rPr>
              <w:t>Klempner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 Press, London,</w:t>
            </w:r>
          </w:p>
        </w:tc>
        <w:tc>
          <w:tcPr>
            <w:tcW w:w="1150" w:type="dxa"/>
            <w:vAlign w:val="center"/>
          </w:tcPr>
          <w:p w:rsidR="005C5936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5C5936">
              <w:rPr>
                <w:rFonts w:cs="Arial"/>
                <w:sz w:val="16"/>
                <w:szCs w:val="16"/>
              </w:rPr>
              <w:t>2010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5C5936" w:rsidRPr="005C5936" w:rsidTr="00D02E1F">
        <w:tc>
          <w:tcPr>
            <w:tcW w:w="675" w:type="dxa"/>
            <w:vAlign w:val="center"/>
          </w:tcPr>
          <w:p w:rsidR="005C5936" w:rsidRPr="005C5936" w:rsidRDefault="005C593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5936" w:rsidRPr="005C5936" w:rsidRDefault="005C5936" w:rsidP="005C593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C5936">
              <w:rPr>
                <w:rFonts w:cs="Arial"/>
                <w:sz w:val="16"/>
                <w:szCs w:val="16"/>
              </w:rPr>
              <w:t>Mitrović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, S., </w:t>
            </w:r>
            <w:proofErr w:type="spellStart"/>
            <w:r w:rsidRPr="005C5936">
              <w:rPr>
                <w:rFonts w:cs="Arial"/>
                <w:sz w:val="16"/>
                <w:szCs w:val="16"/>
              </w:rPr>
              <w:t>Đermanović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, V., </w:t>
            </w:r>
            <w:proofErr w:type="spellStart"/>
            <w:r w:rsidRPr="005C5936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adenović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Svetlana, </w:t>
            </w:r>
            <w:proofErr w:type="spellStart"/>
            <w:r>
              <w:rPr>
                <w:rFonts w:cs="Arial"/>
                <w:sz w:val="16"/>
                <w:szCs w:val="16"/>
              </w:rPr>
              <w:t>Urošević</w:t>
            </w:r>
            <w:proofErr w:type="spellEnd"/>
            <w:r>
              <w:rPr>
                <w:rFonts w:cs="Arial"/>
                <w:sz w:val="16"/>
                <w:szCs w:val="16"/>
              </w:rPr>
              <w:t>, M.</w:t>
            </w:r>
          </w:p>
          <w:p w:rsidR="005C5936" w:rsidRPr="005C5936" w:rsidRDefault="005C5936" w:rsidP="005C593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C5936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C5936">
              <w:rPr>
                <w:rFonts w:cs="Arial"/>
                <w:sz w:val="16"/>
                <w:szCs w:val="16"/>
              </w:rPr>
              <w:t>Reprodukcija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C5936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C5936">
              <w:rPr>
                <w:rFonts w:cs="Arial"/>
                <w:sz w:val="16"/>
                <w:szCs w:val="16"/>
              </w:rPr>
              <w:t>gajenje</w:t>
            </w:r>
            <w:proofErr w:type="spellEnd"/>
            <w:r w:rsidRPr="005C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C5936">
              <w:rPr>
                <w:rFonts w:cs="Arial"/>
                <w:sz w:val="16"/>
                <w:szCs w:val="16"/>
              </w:rPr>
              <w:t>nojeva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C5936" w:rsidRPr="00241787" w:rsidRDefault="005C5936" w:rsidP="005C593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241787">
              <w:rPr>
                <w:rFonts w:cs="Arial"/>
                <w:sz w:val="16"/>
                <w:szCs w:val="16"/>
                <w:lang w:val="de-DE"/>
              </w:rPr>
              <w:t>Institut PKB</w:t>
            </w:r>
          </w:p>
          <w:p w:rsidR="005C5936" w:rsidRPr="00241787" w:rsidRDefault="005C5936" w:rsidP="005C593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241787">
              <w:rPr>
                <w:rFonts w:cs="Arial"/>
                <w:sz w:val="16"/>
                <w:szCs w:val="16"/>
                <w:lang w:val="de-DE"/>
              </w:rPr>
              <w:t>Agroekonomik, Beograd-Padinska Skela</w:t>
            </w:r>
          </w:p>
        </w:tc>
        <w:tc>
          <w:tcPr>
            <w:tcW w:w="1150" w:type="dxa"/>
            <w:vAlign w:val="center"/>
          </w:tcPr>
          <w:p w:rsidR="005C5936" w:rsidRPr="005C5936" w:rsidRDefault="005C5936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5C5936">
              <w:rPr>
                <w:rFonts w:cs="Arial"/>
                <w:sz w:val="16"/>
                <w:szCs w:val="16"/>
              </w:rPr>
              <w:t>2007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230EAA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1312B9" w:rsidRDefault="00862E77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B24BE7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96FE3"/>
    <w:rsid w:val="001F34D7"/>
    <w:rsid w:val="00230EAA"/>
    <w:rsid w:val="002319BC"/>
    <w:rsid w:val="00241787"/>
    <w:rsid w:val="00255EDE"/>
    <w:rsid w:val="002611DF"/>
    <w:rsid w:val="00301DC8"/>
    <w:rsid w:val="00322F84"/>
    <w:rsid w:val="004666C8"/>
    <w:rsid w:val="004C1CC6"/>
    <w:rsid w:val="00535E50"/>
    <w:rsid w:val="005B74EC"/>
    <w:rsid w:val="005C5936"/>
    <w:rsid w:val="005E42D1"/>
    <w:rsid w:val="005E42E8"/>
    <w:rsid w:val="006B0332"/>
    <w:rsid w:val="007253EC"/>
    <w:rsid w:val="00862E77"/>
    <w:rsid w:val="009074B7"/>
    <w:rsid w:val="00910B21"/>
    <w:rsid w:val="00927F2D"/>
    <w:rsid w:val="009B28FB"/>
    <w:rsid w:val="009E2BF4"/>
    <w:rsid w:val="00AE67EE"/>
    <w:rsid w:val="00B24BE7"/>
    <w:rsid w:val="00B54AA5"/>
    <w:rsid w:val="00C21CE9"/>
    <w:rsid w:val="00C6599F"/>
    <w:rsid w:val="00CC0E96"/>
    <w:rsid w:val="00CC7AA9"/>
    <w:rsid w:val="00D02E1F"/>
    <w:rsid w:val="00D554D7"/>
    <w:rsid w:val="00D57E7D"/>
    <w:rsid w:val="00DF0ABC"/>
    <w:rsid w:val="00F87FB0"/>
    <w:rsid w:val="00FA037A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mirjana.stojcic</cp:lastModifiedBy>
  <cp:revision>14</cp:revision>
  <dcterms:created xsi:type="dcterms:W3CDTF">2014-12-22T11:53:00Z</dcterms:created>
  <dcterms:modified xsi:type="dcterms:W3CDTF">2014-12-24T08:57:00Z</dcterms:modified>
</cp:coreProperties>
</file>