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314" w:type="dxa"/>
        <w:tblLook w:val="04A0"/>
      </w:tblPr>
      <w:tblGrid>
        <w:gridCol w:w="675"/>
        <w:gridCol w:w="1417"/>
        <w:gridCol w:w="284"/>
        <w:gridCol w:w="993"/>
        <w:gridCol w:w="708"/>
        <w:gridCol w:w="1134"/>
        <w:gridCol w:w="709"/>
        <w:gridCol w:w="284"/>
        <w:gridCol w:w="567"/>
        <w:gridCol w:w="616"/>
        <w:gridCol w:w="376"/>
        <w:gridCol w:w="992"/>
        <w:gridCol w:w="1559"/>
      </w:tblGrid>
      <w:tr w:rsidR="009E2BF4" w:rsidTr="007A76C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222" w:type="dxa"/>
            <w:gridSpan w:val="11"/>
            <w:vMerge w:val="restart"/>
            <w:vAlign w:val="center"/>
          </w:tcPr>
          <w:p w:rsidR="009E2BF4" w:rsidRPr="00257410" w:rsidRDefault="00625C3B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25C3B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Integrated</w:t>
            </w:r>
            <w:proofErr w:type="spellEnd"/>
            <w:r w:rsidRPr="00625C3B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Pest </w:t>
            </w:r>
            <w:proofErr w:type="spellStart"/>
            <w:r w:rsidRPr="00625C3B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Management</w:t>
            </w:r>
            <w:proofErr w:type="spellEnd"/>
            <w:r w:rsidRPr="00625C3B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in </w:t>
            </w:r>
            <w:proofErr w:type="spellStart"/>
            <w:r w:rsidRPr="00625C3B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Vegetables</w:t>
            </w:r>
            <w:proofErr w:type="spellEnd"/>
          </w:p>
        </w:tc>
      </w:tr>
      <w:tr w:rsidR="009E2BF4" w:rsidTr="007A76CA">
        <w:tc>
          <w:tcPr>
            <w:tcW w:w="2092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5C3B" w:rsidRPr="00625C3B">
              <w:rPr>
                <w:rFonts w:ascii="Arial" w:hAnsi="Arial" w:cs="Arial"/>
                <w:sz w:val="16"/>
                <w:szCs w:val="16"/>
              </w:rPr>
              <w:t>3МГБ1И30</w:t>
            </w:r>
          </w:p>
        </w:tc>
        <w:tc>
          <w:tcPr>
            <w:tcW w:w="8222" w:type="dxa"/>
            <w:gridSpan w:val="11"/>
            <w:vMerge/>
          </w:tcPr>
          <w:p w:rsidR="009E2BF4" w:rsidRDefault="009E2BF4" w:rsidP="00AE428B"/>
        </w:tc>
      </w:tr>
      <w:tr w:rsidR="009E2BF4" w:rsidTr="007A76CA">
        <w:tc>
          <w:tcPr>
            <w:tcW w:w="2092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8222" w:type="dxa"/>
            <w:gridSpan w:val="11"/>
            <w:vMerge/>
          </w:tcPr>
          <w:p w:rsidR="009E2BF4" w:rsidRDefault="009E2BF4" w:rsidP="00AE428B"/>
        </w:tc>
      </w:tr>
      <w:tr w:rsidR="002611DF" w:rsidTr="007A76CA">
        <w:tc>
          <w:tcPr>
            <w:tcW w:w="2092" w:type="dxa"/>
            <w:gridSpan w:val="2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222" w:type="dxa"/>
            <w:gridSpan w:val="11"/>
          </w:tcPr>
          <w:p w:rsidR="002611DF" w:rsidRDefault="00257410" w:rsidP="00D379FB">
            <w:r w:rsidRPr="00257410">
              <w:rPr>
                <w:rFonts w:ascii="Arial" w:hAnsi="Arial" w:cs="Arial"/>
                <w:sz w:val="16"/>
                <w:szCs w:val="16"/>
              </w:rPr>
              <w:t>PhD</w:t>
            </w:r>
            <w:r w:rsidR="00625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25C3B" w:rsidRPr="00625C3B">
              <w:rPr>
                <w:rFonts w:ascii="Arial" w:hAnsi="Arial" w:cs="Arial"/>
                <w:sz w:val="16"/>
                <w:szCs w:val="16"/>
              </w:rPr>
              <w:t>Marija</w:t>
            </w:r>
            <w:proofErr w:type="spellEnd"/>
            <w:r w:rsidR="00625C3B" w:rsidRPr="00625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25C3B" w:rsidRPr="00625C3B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="00625C3B" w:rsidRPr="00625C3B">
              <w:rPr>
                <w:rFonts w:ascii="Arial" w:hAnsi="Arial" w:cs="Arial"/>
                <w:sz w:val="16"/>
                <w:szCs w:val="16"/>
              </w:rPr>
              <w:t>, Teaching assistant:</w:t>
            </w:r>
            <w:r w:rsidR="00625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25C3B"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 w:rsidR="00625C3B" w:rsidRPr="00625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25C3B" w:rsidRPr="00625C3B">
              <w:rPr>
                <w:rFonts w:ascii="Arial" w:hAnsi="Arial" w:cs="Arial"/>
                <w:sz w:val="16"/>
                <w:szCs w:val="16"/>
              </w:rPr>
              <w:t>Du</w:t>
            </w:r>
            <w:r w:rsidR="00625C3B">
              <w:rPr>
                <w:rFonts w:ascii="Arial" w:hAnsi="Arial" w:cs="Arial"/>
                <w:sz w:val="16"/>
                <w:szCs w:val="16"/>
              </w:rPr>
              <w:t>š</w:t>
            </w:r>
            <w:r w:rsidR="00625C3B" w:rsidRPr="00625C3B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="00625C3B" w:rsidRPr="00625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25C3B" w:rsidRPr="00625C3B">
              <w:rPr>
                <w:rFonts w:ascii="Arial" w:hAnsi="Arial" w:cs="Arial"/>
                <w:sz w:val="16"/>
                <w:szCs w:val="16"/>
              </w:rPr>
              <w:t>Marinkovi</w:t>
            </w:r>
            <w:r w:rsidR="00625C3B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</w:p>
        </w:tc>
      </w:tr>
      <w:tr w:rsidR="00DF0ABC" w:rsidTr="007A76C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222" w:type="dxa"/>
            <w:gridSpan w:val="11"/>
            <w:tcBorders>
              <w:bottom w:val="single" w:sz="4" w:space="0" w:color="auto"/>
            </w:tcBorders>
          </w:tcPr>
          <w:p w:rsidR="00DF0ABC" w:rsidRDefault="00625C3B" w:rsidP="00AE428B">
            <w:r w:rsidRPr="00625C3B">
              <w:rPr>
                <w:sz w:val="18"/>
                <w:szCs w:val="18"/>
              </w:rPr>
              <w:t>Elective</w:t>
            </w:r>
          </w:p>
        </w:tc>
      </w:tr>
      <w:tr w:rsidR="009E2BF4" w:rsidTr="007A76CA">
        <w:trPr>
          <w:trHeight w:val="227"/>
        </w:trPr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7A76C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D37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9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B13630" w:rsidP="00D37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3630">
              <w:rPr>
                <w:rFonts w:ascii="Arial" w:hAnsi="Arial" w:cs="Arial"/>
                <w:sz w:val="16"/>
                <w:szCs w:val="16"/>
                <w:lang w:val="sr-Latn-CS"/>
              </w:rPr>
              <w:t>Laboratory</w:t>
            </w:r>
            <w:proofErr w:type="spellEnd"/>
            <w:r w:rsidRPr="00B1363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sz w:val="16"/>
                <w:szCs w:val="16"/>
                <w:lang w:val="sr-Latn-CS"/>
              </w:rPr>
              <w:t>classes</w:t>
            </w:r>
            <w:proofErr w:type="spellEnd"/>
            <w:r w:rsidR="009E2BF4"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9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7A76C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222" w:type="dxa"/>
            <w:gridSpan w:val="11"/>
            <w:shd w:val="clear" w:color="auto" w:fill="C2D69B" w:themeFill="accent3" w:themeFillTint="99"/>
            <w:vAlign w:val="center"/>
          </w:tcPr>
          <w:p w:rsidR="009E2BF4" w:rsidRPr="005E42D1" w:rsidRDefault="00D379FB" w:rsidP="00306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None</w:t>
            </w:r>
          </w:p>
        </w:tc>
      </w:tr>
      <w:tr w:rsidR="005E42D1" w:rsidTr="007A76CA">
        <w:tc>
          <w:tcPr>
            <w:tcW w:w="10314" w:type="dxa"/>
            <w:gridSpan w:val="13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D379FB" w:rsidRPr="00D379FB" w:rsidRDefault="00D379FB" w:rsidP="00D379FB">
            <w:pPr>
              <w:jc w:val="both"/>
              <w:rPr>
                <w:sz w:val="18"/>
                <w:szCs w:val="18"/>
                <w:lang w:val="sr-Latn-CS"/>
              </w:rPr>
            </w:pPr>
            <w:r w:rsidRPr="00D379FB">
              <w:rPr>
                <w:sz w:val="18"/>
                <w:szCs w:val="18"/>
                <w:lang w:val="sr-Latn-CS"/>
              </w:rPr>
              <w:t xml:space="preserve">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objective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is for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students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to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acquire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knowledge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of:</w:t>
            </w:r>
          </w:p>
          <w:p w:rsidR="00D379FB" w:rsidRPr="00D379FB" w:rsidRDefault="00D379FB" w:rsidP="00D379FB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-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pesticides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application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ways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getting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into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soil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water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plants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decomposition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impact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on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environment</w:t>
            </w:r>
            <w:proofErr w:type="spellEnd"/>
          </w:p>
          <w:p w:rsidR="00D379FB" w:rsidRPr="00D379FB" w:rsidRDefault="00D379FB" w:rsidP="00D379FB">
            <w:pPr>
              <w:jc w:val="both"/>
            </w:pPr>
            <w:r>
              <w:rPr>
                <w:sz w:val="18"/>
                <w:szCs w:val="18"/>
                <w:lang w:val="sr-Latn-CS"/>
              </w:rPr>
              <w:t xml:space="preserve">-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metods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integrated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plant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>/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vegetable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protection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possibilities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application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various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mixtures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pesticides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pesticide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non-pesticide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materials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alternative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methods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to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conventional</w:t>
            </w:r>
            <w:proofErr w:type="spellEnd"/>
          </w:p>
          <w:p w:rsidR="005E42D1" w:rsidRDefault="00D379FB" w:rsidP="00D379FB">
            <w:pPr>
              <w:jc w:val="both"/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Sound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environmentaly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frie</w:t>
            </w:r>
            <w:r>
              <w:rPr>
                <w:sz w:val="18"/>
                <w:szCs w:val="18"/>
                <w:lang w:val="sr-Latn-CS"/>
              </w:rPr>
              <w:t>n</w:t>
            </w:r>
            <w:r w:rsidRPr="00D379FB">
              <w:rPr>
                <w:sz w:val="18"/>
                <w:szCs w:val="18"/>
                <w:lang w:val="sr-Latn-CS"/>
              </w:rPr>
              <w:t>dly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approach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to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vegatable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growing</w:t>
            </w:r>
            <w:proofErr w:type="spellEnd"/>
          </w:p>
        </w:tc>
      </w:tr>
      <w:tr w:rsidR="005E42D1" w:rsidRPr="00AF4C6D" w:rsidTr="007A76CA">
        <w:tc>
          <w:tcPr>
            <w:tcW w:w="10314" w:type="dxa"/>
            <w:gridSpan w:val="13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F4C6D" w:rsidRPr="00AF4C6D" w:rsidRDefault="00D379FB" w:rsidP="00D379FB">
            <w:pPr>
              <w:jc w:val="both"/>
            </w:pPr>
            <w:r w:rsidRPr="00D379FB">
              <w:rPr>
                <w:sz w:val="18"/>
                <w:szCs w:val="18"/>
                <w:lang w:val="sr-Latn-CS"/>
              </w:rPr>
              <w:t xml:space="preserve">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acquired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knowledge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different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methods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applicable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to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vegateble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growing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field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protected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environment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Economic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treshold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pest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that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requires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protection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vegetables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.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choice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methods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depending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on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pests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pesticides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their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fate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in the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environment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Methods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pesticide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application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effect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on non-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targets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limitations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application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frequency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that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will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contribute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to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successful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safe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environmentally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friendly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vegetable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D379FB">
              <w:rPr>
                <w:sz w:val="18"/>
                <w:szCs w:val="18"/>
                <w:lang w:val="sr-Latn-CS"/>
              </w:rPr>
              <w:t>production</w:t>
            </w:r>
            <w:proofErr w:type="spellEnd"/>
            <w:r w:rsidRPr="00D379FB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E42D1" w:rsidRPr="00AF4C6D" w:rsidTr="007A76CA">
        <w:tc>
          <w:tcPr>
            <w:tcW w:w="10314" w:type="dxa"/>
            <w:gridSpan w:val="13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F4C6D" w:rsidRDefault="00210728" w:rsidP="00AE428B">
            <w:pPr>
              <w:jc w:val="both"/>
              <w:rPr>
                <w:iCs/>
                <w:sz w:val="18"/>
                <w:szCs w:val="18"/>
              </w:rPr>
            </w:pPr>
            <w:r w:rsidRPr="00695D70">
              <w:rPr>
                <w:b/>
                <w:i/>
                <w:sz w:val="18"/>
                <w:szCs w:val="18"/>
              </w:rPr>
              <w:t>T</w:t>
            </w:r>
            <w:r w:rsidR="001175D4" w:rsidRPr="00695D70">
              <w:rPr>
                <w:b/>
                <w:i/>
                <w:sz w:val="18"/>
                <w:szCs w:val="18"/>
              </w:rPr>
              <w:t>heoretical</w:t>
            </w:r>
            <w:r w:rsidR="001175D4" w:rsidRPr="00436C81">
              <w:rPr>
                <w:b/>
                <w:i/>
                <w:sz w:val="18"/>
                <w:szCs w:val="18"/>
              </w:rPr>
              <w:t xml:space="preserve"> </w:t>
            </w:r>
            <w:r w:rsidR="001175D4" w:rsidRPr="00695D70">
              <w:rPr>
                <w:b/>
                <w:i/>
                <w:sz w:val="18"/>
                <w:szCs w:val="18"/>
              </w:rPr>
              <w:t>teaching</w:t>
            </w:r>
            <w:r w:rsidRPr="00436C81">
              <w:rPr>
                <w:sz w:val="18"/>
                <w:szCs w:val="18"/>
              </w:rPr>
              <w:t xml:space="preserve">: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New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classes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pesticide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biological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agents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proofErr w:type="gramStart"/>
            <w:r w:rsidR="00D379FB" w:rsidRPr="00D379FB">
              <w:rPr>
                <w:iCs/>
                <w:sz w:val="18"/>
                <w:szCs w:val="18"/>
                <w:lang w:val="sr-Latn-CS"/>
              </w:rPr>
              <w:t>types</w:t>
            </w:r>
            <w:proofErr w:type="spellEnd"/>
            <w:proofErr w:type="gram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formulations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way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application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Biological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effects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insecticides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vegetable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crops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consequences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pesticide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application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;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strategy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for pesticide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biologicals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application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view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integrated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management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>. S</w:t>
            </w:r>
            <w:r w:rsidR="00D379FB" w:rsidRPr="00D379FB">
              <w:rPr>
                <w:iCs/>
                <w:sz w:val="18"/>
                <w:szCs w:val="18"/>
                <w:lang w:val="en-GB"/>
              </w:rPr>
              <w:t xml:space="preserve">electivity, </w:t>
            </w:r>
            <w:proofErr w:type="spellStart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>management</w:t>
            </w:r>
            <w:proofErr w:type="spellEnd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 xml:space="preserve"> monitoring of </w:t>
            </w:r>
            <w:proofErr w:type="spellStart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>insecticide</w:t>
            </w:r>
            <w:proofErr w:type="spellEnd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bCs/>
                <w:iCs/>
                <w:sz w:val="18"/>
                <w:szCs w:val="18"/>
                <w:lang w:val="sr-Latn-CS"/>
              </w:rPr>
              <w:t>resistance</w:t>
            </w:r>
            <w:proofErr w:type="spellEnd"/>
            <w:r w:rsidR="00D379FB" w:rsidRPr="00D379FB">
              <w:rPr>
                <w:iCs/>
                <w:sz w:val="18"/>
                <w:szCs w:val="18"/>
                <w:lang w:val="en-GB"/>
              </w:rPr>
              <w:t xml:space="preserve">  Release of p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esticides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into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the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environment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water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soil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plants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their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decomposition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Compatibility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pesticide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compounds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>.</w:t>
            </w:r>
            <w:r w:rsidR="00D379FB" w:rsidRPr="00D379FB">
              <w:rPr>
                <w:b/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Integrated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Management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Biological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Control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Organic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Agriculture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. 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Europen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national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legislationin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in the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field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plant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protection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products</w:t>
            </w:r>
            <w:proofErr w:type="spellEnd"/>
            <w:r w:rsidR="00AF4C6D" w:rsidRPr="00AF4C6D">
              <w:rPr>
                <w:iCs/>
                <w:sz w:val="18"/>
                <w:szCs w:val="18"/>
              </w:rPr>
              <w:t>.</w:t>
            </w:r>
          </w:p>
          <w:p w:rsidR="00AF4C6D" w:rsidRPr="00436C81" w:rsidRDefault="00AA05E5" w:rsidP="005A2CDF">
            <w:pPr>
              <w:jc w:val="both"/>
              <w:rPr>
                <w:lang w:val="sr-Latn-CS"/>
              </w:rPr>
            </w:pPr>
            <w:r w:rsidRPr="00695D70">
              <w:rPr>
                <w:b/>
                <w:i/>
                <w:sz w:val="18"/>
                <w:szCs w:val="18"/>
              </w:rPr>
              <w:t>Practical</w:t>
            </w:r>
            <w:r w:rsidRPr="005A2CDF">
              <w:rPr>
                <w:b/>
                <w:i/>
                <w:sz w:val="18"/>
                <w:szCs w:val="18"/>
              </w:rPr>
              <w:t xml:space="preserve"> </w:t>
            </w:r>
            <w:r w:rsidR="00695D70" w:rsidRPr="00695D70">
              <w:rPr>
                <w:b/>
                <w:i/>
                <w:sz w:val="18"/>
                <w:szCs w:val="18"/>
              </w:rPr>
              <w:t>exercises</w:t>
            </w:r>
            <w:r w:rsidRPr="005A2CDF">
              <w:rPr>
                <w:sz w:val="18"/>
                <w:szCs w:val="18"/>
              </w:rPr>
              <w:t xml:space="preserve">: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Assesments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methods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to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determine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presence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pests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monitoring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techniques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tresholds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for the major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pests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pesticides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environment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. Pesticide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effects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on test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organisms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>, non-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targets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protection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programmes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for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vegetables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and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newly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planted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areas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Choice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methods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for a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safe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control</w:t>
            </w:r>
            <w:proofErr w:type="spellEnd"/>
            <w:r w:rsidR="00D379FB" w:rsidRPr="00D379FB">
              <w:rPr>
                <w:iCs/>
                <w:sz w:val="18"/>
                <w:szCs w:val="18"/>
                <w:lang w:val="sr-Latn-CS"/>
              </w:rPr>
              <w:t xml:space="preserve"> of pest </w:t>
            </w:r>
            <w:proofErr w:type="spellStart"/>
            <w:r w:rsidR="00D379FB" w:rsidRPr="00D379FB">
              <w:rPr>
                <w:iCs/>
                <w:sz w:val="18"/>
                <w:szCs w:val="18"/>
                <w:lang w:val="sr-Latn-CS"/>
              </w:rPr>
              <w:t>organisms</w:t>
            </w:r>
            <w:proofErr w:type="spellEnd"/>
            <w:r w:rsidR="00AF4C6D" w:rsidRPr="00AF4C6D">
              <w:rPr>
                <w:iCs/>
                <w:sz w:val="18"/>
                <w:szCs w:val="18"/>
              </w:rPr>
              <w:t>.</w:t>
            </w:r>
          </w:p>
        </w:tc>
      </w:tr>
      <w:tr w:rsidR="005E42D1" w:rsidTr="007A76CA"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D379FB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</w:t>
            </w:r>
            <w:r w:rsidR="00D379FB">
              <w:t xml:space="preserve"> </w:t>
            </w:r>
            <w:r w:rsidR="00D379FB" w:rsidRPr="00D379FB">
              <w:rPr>
                <w:rFonts w:ascii="Arial" w:hAnsi="Arial" w:cs="Arial"/>
                <w:sz w:val="16"/>
                <w:szCs w:val="16"/>
              </w:rPr>
              <w:t>Laboratory exercises</w:t>
            </w:r>
          </w:p>
        </w:tc>
      </w:tr>
      <w:tr w:rsidR="005E42D1" w:rsidTr="007A76CA"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B13630" w:rsidP="00AE428B">
            <w:pPr>
              <w:rPr>
                <w:sz w:val="18"/>
                <w:szCs w:val="18"/>
              </w:rPr>
            </w:pPr>
            <w:r w:rsidRPr="00B13630">
              <w:rPr>
                <w:sz w:val="18"/>
                <w:szCs w:val="18"/>
              </w:rPr>
              <w:t>Practical classes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B13630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42D1" w:rsidRPr="005E42D1" w:rsidRDefault="00B13630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A2CD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02E1F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B13630" w:rsidP="00AE428B">
            <w:pPr>
              <w:rPr>
                <w:sz w:val="18"/>
                <w:szCs w:val="18"/>
              </w:rPr>
            </w:pPr>
            <w:proofErr w:type="spellStart"/>
            <w:r w:rsidRPr="00B13630">
              <w:rPr>
                <w:sz w:val="18"/>
                <w:szCs w:val="18"/>
                <w:lang w:val="sr-Latn-CS"/>
              </w:rPr>
              <w:t>Research</w:t>
            </w:r>
            <w:proofErr w:type="spellEnd"/>
            <w:r w:rsidRPr="00B13630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13630">
              <w:rPr>
                <w:sz w:val="18"/>
                <w:szCs w:val="18"/>
                <w:lang w:val="sr-Latn-CS"/>
              </w:rPr>
              <w:t>work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2E1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7A76CA">
        <w:tc>
          <w:tcPr>
            <w:tcW w:w="10314" w:type="dxa"/>
            <w:gridSpan w:val="13"/>
            <w:shd w:val="clear" w:color="auto" w:fill="C2D69B" w:themeFill="accent3" w:themeFillTint="99"/>
            <w:vAlign w:val="center"/>
          </w:tcPr>
          <w:p w:rsidR="00D02E1F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13630">
        <w:tc>
          <w:tcPr>
            <w:tcW w:w="675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828" w:type="dxa"/>
            <w:gridSpan w:val="5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551" w:type="dxa"/>
            <w:gridSpan w:val="4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559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67746D" w:rsidTr="00B13630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r-Cyrl-CS"/>
              </w:rPr>
              <w:t>Čamprag</w:t>
            </w:r>
            <w:proofErr w:type="spellEnd"/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828" w:type="dxa"/>
            <w:gridSpan w:val="5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Integralna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zaštita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ratarskih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kultura</w:t>
            </w:r>
          </w:p>
        </w:tc>
        <w:tc>
          <w:tcPr>
            <w:tcW w:w="2551" w:type="dxa"/>
            <w:gridSpan w:val="4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Polјoprivredni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="00D379FB" w:rsidRPr="00D379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</w:p>
        </w:tc>
        <w:tc>
          <w:tcPr>
            <w:tcW w:w="1559" w:type="dxa"/>
            <w:vAlign w:val="center"/>
          </w:tcPr>
          <w:p w:rsidR="0067746D" w:rsidRPr="00D02E1F" w:rsidRDefault="0067746D" w:rsidP="00B13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136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7746D" w:rsidTr="00B13630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630">
              <w:rPr>
                <w:rFonts w:ascii="Arial" w:hAnsi="Arial" w:cs="Arial"/>
                <w:sz w:val="16"/>
                <w:szCs w:val="16"/>
                <w:lang w:val="sl-SI"/>
              </w:rPr>
              <w:t>Dent, D.</w:t>
            </w:r>
          </w:p>
        </w:tc>
        <w:tc>
          <w:tcPr>
            <w:tcW w:w="3828" w:type="dxa"/>
            <w:gridSpan w:val="5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630">
              <w:rPr>
                <w:rFonts w:ascii="Arial" w:hAnsi="Arial" w:cs="Arial"/>
                <w:sz w:val="16"/>
                <w:szCs w:val="16"/>
                <w:lang w:val="sl-SI"/>
              </w:rPr>
              <w:t>Insect Pest Management,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13630">
              <w:rPr>
                <w:rFonts w:ascii="Arial" w:hAnsi="Arial" w:cs="Arial"/>
                <w:sz w:val="16"/>
                <w:szCs w:val="16"/>
                <w:lang w:val="sl-SI"/>
              </w:rPr>
              <w:t>2nd Edition</w:t>
            </w:r>
          </w:p>
        </w:tc>
        <w:tc>
          <w:tcPr>
            <w:tcW w:w="2551" w:type="dxa"/>
            <w:gridSpan w:val="4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630">
              <w:rPr>
                <w:rFonts w:ascii="Arial" w:hAnsi="Arial" w:cs="Arial"/>
                <w:sz w:val="16"/>
                <w:szCs w:val="16"/>
                <w:lang w:val="sl-SI"/>
              </w:rPr>
              <w:t>CAB International, Wiltshire</w:t>
            </w:r>
          </w:p>
        </w:tc>
        <w:tc>
          <w:tcPr>
            <w:tcW w:w="1559" w:type="dxa"/>
            <w:vAlign w:val="center"/>
          </w:tcPr>
          <w:p w:rsidR="0067746D" w:rsidRPr="00D02E1F" w:rsidRDefault="0067746D" w:rsidP="00B13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136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746D" w:rsidTr="00B13630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Hillocks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I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R.J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.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and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J.E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.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Cooper</w:t>
            </w:r>
            <w:proofErr w:type="spellEnd"/>
          </w:p>
        </w:tc>
        <w:tc>
          <w:tcPr>
            <w:tcW w:w="3828" w:type="dxa"/>
            <w:gridSpan w:val="5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Integrated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Pest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Management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–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can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it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contribute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to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sustainable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food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production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in Europe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with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decreased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reliance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on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conventional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pesticides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?</w:t>
            </w:r>
          </w:p>
        </w:tc>
        <w:tc>
          <w:tcPr>
            <w:tcW w:w="2551" w:type="dxa"/>
            <w:gridSpan w:val="4"/>
            <w:vAlign w:val="center"/>
          </w:tcPr>
          <w:p w:rsidR="0067746D" w:rsidRPr="00D02E1F" w:rsidRDefault="00B13630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European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Centre for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IPM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, University of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Greenich</w:t>
            </w:r>
            <w:proofErr w:type="spellEnd"/>
          </w:p>
        </w:tc>
        <w:tc>
          <w:tcPr>
            <w:tcW w:w="1559" w:type="dxa"/>
            <w:vAlign w:val="center"/>
          </w:tcPr>
          <w:p w:rsidR="0067746D" w:rsidRPr="00D02E1F" w:rsidRDefault="0067746D" w:rsidP="00B13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136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13630" w:rsidTr="00B13630">
        <w:tc>
          <w:tcPr>
            <w:tcW w:w="675" w:type="dxa"/>
            <w:vAlign w:val="center"/>
          </w:tcPr>
          <w:p w:rsidR="00B13630" w:rsidRPr="00D02E1F" w:rsidRDefault="00B13630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3630" w:rsidRPr="00B13630" w:rsidRDefault="00B13630" w:rsidP="006774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Cooper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J.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and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Dobson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H.</w:t>
            </w:r>
          </w:p>
        </w:tc>
        <w:tc>
          <w:tcPr>
            <w:tcW w:w="3828" w:type="dxa"/>
            <w:gridSpan w:val="5"/>
            <w:vAlign w:val="center"/>
          </w:tcPr>
          <w:p w:rsidR="00B13630" w:rsidRPr="00B13630" w:rsidRDefault="00B13630" w:rsidP="006774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The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benefits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of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pesticides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to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mankind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and</w:t>
            </w:r>
            <w:proofErr w:type="spellEnd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the </w:t>
            </w: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environment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B13630" w:rsidRPr="00B13630" w:rsidRDefault="00B13630" w:rsidP="006774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proofErr w:type="spellStart"/>
            <w:r w:rsidRPr="00B1363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www.Sciencedirect</w:t>
            </w:r>
            <w:proofErr w:type="spellEnd"/>
          </w:p>
        </w:tc>
        <w:tc>
          <w:tcPr>
            <w:tcW w:w="1559" w:type="dxa"/>
            <w:vAlign w:val="center"/>
          </w:tcPr>
          <w:p w:rsidR="00B13630" w:rsidRDefault="00B13630" w:rsidP="00B13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10314" w:type="dxa"/>
        <w:tblLook w:val="04A0"/>
      </w:tblPr>
      <w:tblGrid>
        <w:gridCol w:w="1818"/>
        <w:gridCol w:w="6372"/>
        <w:gridCol w:w="2124"/>
      </w:tblGrid>
      <w:tr w:rsidR="001312B9" w:rsidTr="007A76CA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2124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7A76CA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DE1398" w:rsidP="000D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7A76CA"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670"/>
    <w:multiLevelType w:val="multilevel"/>
    <w:tmpl w:val="FAC0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A1315"/>
    <w:rsid w:val="000D06C6"/>
    <w:rsid w:val="000D0838"/>
    <w:rsid w:val="0011588B"/>
    <w:rsid w:val="001175D4"/>
    <w:rsid w:val="001312B9"/>
    <w:rsid w:val="001C2172"/>
    <w:rsid w:val="001F34D7"/>
    <w:rsid w:val="00210728"/>
    <w:rsid w:val="002319BC"/>
    <w:rsid w:val="002427FD"/>
    <w:rsid w:val="00255EDE"/>
    <w:rsid w:val="00257410"/>
    <w:rsid w:val="002611DF"/>
    <w:rsid w:val="0030140D"/>
    <w:rsid w:val="00306361"/>
    <w:rsid w:val="00322F84"/>
    <w:rsid w:val="00336D01"/>
    <w:rsid w:val="004173AF"/>
    <w:rsid w:val="00436C81"/>
    <w:rsid w:val="004666C8"/>
    <w:rsid w:val="004C1CC6"/>
    <w:rsid w:val="005333DF"/>
    <w:rsid w:val="00535E50"/>
    <w:rsid w:val="005A2CDF"/>
    <w:rsid w:val="005E42D1"/>
    <w:rsid w:val="00625C3B"/>
    <w:rsid w:val="0067746D"/>
    <w:rsid w:val="00695D70"/>
    <w:rsid w:val="007816E2"/>
    <w:rsid w:val="007A76CA"/>
    <w:rsid w:val="007F2B95"/>
    <w:rsid w:val="00927F2D"/>
    <w:rsid w:val="009B1713"/>
    <w:rsid w:val="009B28FB"/>
    <w:rsid w:val="009C0DDC"/>
    <w:rsid w:val="009E2BF4"/>
    <w:rsid w:val="00AA05E5"/>
    <w:rsid w:val="00AE428B"/>
    <w:rsid w:val="00AE67EE"/>
    <w:rsid w:val="00AF4C6D"/>
    <w:rsid w:val="00B04554"/>
    <w:rsid w:val="00B11942"/>
    <w:rsid w:val="00B13630"/>
    <w:rsid w:val="00C21CE9"/>
    <w:rsid w:val="00C714AD"/>
    <w:rsid w:val="00CC0E96"/>
    <w:rsid w:val="00CC7AA9"/>
    <w:rsid w:val="00D02E1F"/>
    <w:rsid w:val="00D379FB"/>
    <w:rsid w:val="00D43F23"/>
    <w:rsid w:val="00D554D7"/>
    <w:rsid w:val="00D57DAF"/>
    <w:rsid w:val="00D57E7D"/>
    <w:rsid w:val="00DE1398"/>
    <w:rsid w:val="00DF0ABC"/>
    <w:rsid w:val="00E00E09"/>
    <w:rsid w:val="00E11003"/>
    <w:rsid w:val="00E60A0B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8D21-27BA-4EC7-9DF7-19D12611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21</cp:revision>
  <dcterms:created xsi:type="dcterms:W3CDTF">2014-12-09T10:44:00Z</dcterms:created>
  <dcterms:modified xsi:type="dcterms:W3CDTF">2015-02-07T21:05:00Z</dcterms:modified>
</cp:coreProperties>
</file>