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2E72E1" w:rsidRPr="005E7866" w:rsidTr="00F94DB3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2E72E1" w:rsidRPr="005E7866" w:rsidRDefault="002E72E1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7866">
              <w:rPr>
                <w:rFonts w:ascii="Arial" w:hAnsi="Arial" w:cs="Arial"/>
                <w:sz w:val="16"/>
                <w:szCs w:val="16"/>
                <w:lang w:val="en-GB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2E72E1" w:rsidRPr="005E7866" w:rsidRDefault="002E72E1" w:rsidP="00F94DB3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proofErr w:type="spellStart"/>
            <w:r w:rsidRPr="005232D8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/>
              </w:rPr>
              <w:t>Аgribusiness</w:t>
            </w:r>
            <w:proofErr w:type="spellEnd"/>
            <w:r w:rsidRPr="005232D8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/>
              </w:rPr>
              <w:t xml:space="preserve"> Management</w:t>
            </w:r>
          </w:p>
        </w:tc>
      </w:tr>
      <w:tr w:rsidR="002E72E1" w:rsidRPr="005E7866" w:rsidTr="00F94DB3">
        <w:tc>
          <w:tcPr>
            <w:tcW w:w="2092" w:type="dxa"/>
            <w:gridSpan w:val="2"/>
            <w:vAlign w:val="center"/>
          </w:tcPr>
          <w:p w:rsidR="002E72E1" w:rsidRPr="005E7866" w:rsidRDefault="002E72E1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7866">
              <w:rPr>
                <w:rFonts w:ascii="Arial" w:hAnsi="Arial" w:cs="Arial"/>
                <w:sz w:val="16"/>
                <w:szCs w:val="16"/>
                <w:lang w:val="en-GB"/>
              </w:rPr>
              <w:t xml:space="preserve">Course id: </w:t>
            </w:r>
            <w:r w:rsidRPr="005E7866">
              <w:rPr>
                <w:rFonts w:ascii="Arial" w:eastAsia="Times New Roman" w:hAnsi="Arial" w:cs="Arial"/>
                <w:bCs/>
                <w:sz w:val="16"/>
                <w:lang w:val="en-GB"/>
              </w:rPr>
              <w:t>3MAE1I03</w:t>
            </w:r>
          </w:p>
        </w:tc>
        <w:tc>
          <w:tcPr>
            <w:tcW w:w="7530" w:type="dxa"/>
            <w:gridSpan w:val="9"/>
            <w:vMerge/>
          </w:tcPr>
          <w:p w:rsidR="002E72E1" w:rsidRPr="005E7866" w:rsidRDefault="002E72E1" w:rsidP="00F94DB3">
            <w:pPr>
              <w:rPr>
                <w:lang w:val="en-GB"/>
              </w:rPr>
            </w:pPr>
          </w:p>
        </w:tc>
      </w:tr>
      <w:tr w:rsidR="002E72E1" w:rsidRPr="005E7866" w:rsidTr="00F94DB3">
        <w:tc>
          <w:tcPr>
            <w:tcW w:w="2092" w:type="dxa"/>
            <w:gridSpan w:val="2"/>
            <w:vAlign w:val="center"/>
          </w:tcPr>
          <w:p w:rsidR="002E72E1" w:rsidRPr="005E7866" w:rsidRDefault="002E72E1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7866">
              <w:rPr>
                <w:rFonts w:ascii="Arial" w:hAnsi="Arial" w:cs="Arial"/>
                <w:sz w:val="16"/>
                <w:szCs w:val="16"/>
                <w:lang w:val="en-GB"/>
              </w:rPr>
              <w:t>Number of ECTS: 6</w:t>
            </w:r>
          </w:p>
        </w:tc>
        <w:tc>
          <w:tcPr>
            <w:tcW w:w="7530" w:type="dxa"/>
            <w:gridSpan w:val="9"/>
            <w:vMerge/>
          </w:tcPr>
          <w:p w:rsidR="002E72E1" w:rsidRPr="005E7866" w:rsidRDefault="002E72E1" w:rsidP="00F94DB3">
            <w:pPr>
              <w:rPr>
                <w:lang w:val="en-GB"/>
              </w:rPr>
            </w:pPr>
          </w:p>
        </w:tc>
      </w:tr>
      <w:tr w:rsidR="002E72E1" w:rsidRPr="005E7866" w:rsidTr="00F94DB3">
        <w:tc>
          <w:tcPr>
            <w:tcW w:w="2092" w:type="dxa"/>
            <w:gridSpan w:val="2"/>
            <w:vAlign w:val="center"/>
          </w:tcPr>
          <w:p w:rsidR="002E72E1" w:rsidRPr="005E7866" w:rsidRDefault="002E72E1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7866">
              <w:rPr>
                <w:rFonts w:ascii="Arial" w:hAnsi="Arial" w:cs="Arial"/>
                <w:sz w:val="16"/>
                <w:szCs w:val="16"/>
                <w:lang w:val="en-GB"/>
              </w:rPr>
              <w:t>Teacher:</w:t>
            </w:r>
          </w:p>
        </w:tc>
        <w:tc>
          <w:tcPr>
            <w:tcW w:w="7530" w:type="dxa"/>
            <w:gridSpan w:val="9"/>
          </w:tcPr>
          <w:p w:rsidR="002E72E1" w:rsidRPr="005232D8" w:rsidRDefault="002E72E1" w:rsidP="00F94DB3">
            <w:pPr>
              <w:rPr>
                <w:rFonts w:eastAsia="Times New Roman" w:cs="Times New Roman"/>
                <w:b/>
                <w:bCs/>
                <w:sz w:val="18"/>
                <w:lang w:val="en-GB"/>
              </w:rPr>
            </w:pPr>
            <w:proofErr w:type="spellStart"/>
            <w:r w:rsidRPr="005232D8">
              <w:rPr>
                <w:rFonts w:eastAsia="Times New Roman" w:cs="Times New Roman"/>
                <w:bCs/>
                <w:sz w:val="18"/>
                <w:lang w:val="en-GB"/>
              </w:rPr>
              <w:t>Nebojša</w:t>
            </w:r>
            <w:proofErr w:type="spellEnd"/>
            <w:r w:rsidRPr="005232D8">
              <w:rPr>
                <w:rFonts w:eastAsia="Times New Roman" w:cs="Times New Roman"/>
                <w:bCs/>
                <w:sz w:val="18"/>
                <w:lang w:val="en-GB"/>
              </w:rPr>
              <w:t xml:space="preserve"> Đ. </w:t>
            </w:r>
            <w:proofErr w:type="spellStart"/>
            <w:r w:rsidRPr="005232D8">
              <w:rPr>
                <w:rFonts w:eastAsia="Times New Roman" w:cs="Times New Roman"/>
                <w:bCs/>
                <w:sz w:val="18"/>
                <w:lang w:val="en-GB"/>
              </w:rPr>
              <w:t>Novković</w:t>
            </w:r>
            <w:proofErr w:type="spellEnd"/>
            <w:r w:rsidRPr="005232D8">
              <w:rPr>
                <w:rFonts w:eastAsia="Times New Roman" w:cs="Times New Roman"/>
                <w:bCs/>
                <w:sz w:val="18"/>
                <w:lang w:val="en-GB"/>
              </w:rPr>
              <w:t xml:space="preserve">; Slobodan M. </w:t>
            </w:r>
            <w:proofErr w:type="spellStart"/>
            <w:r w:rsidRPr="005232D8">
              <w:rPr>
                <w:rFonts w:eastAsia="Times New Roman" w:cs="Times New Roman"/>
                <w:bCs/>
                <w:sz w:val="18"/>
                <w:lang w:val="en-GB"/>
              </w:rPr>
              <w:t>Ceranić</w:t>
            </w:r>
            <w:proofErr w:type="spellEnd"/>
          </w:p>
          <w:p w:rsidR="002E72E1" w:rsidRPr="005E7866" w:rsidRDefault="002E72E1" w:rsidP="00F94DB3">
            <w:pPr>
              <w:rPr>
                <w:lang w:val="en-GB"/>
              </w:rPr>
            </w:pPr>
            <w:proofErr w:type="spellStart"/>
            <w:r w:rsidRPr="005232D8">
              <w:rPr>
                <w:rFonts w:eastAsia="Times New Roman" w:cs="Times New Roman"/>
                <w:bCs/>
                <w:sz w:val="18"/>
                <w:lang w:val="en-GB"/>
              </w:rPr>
              <w:t>Nataša</w:t>
            </w:r>
            <w:proofErr w:type="spellEnd"/>
            <w:r w:rsidRPr="005232D8">
              <w:rPr>
                <w:rFonts w:eastAsia="Times New Roman" w:cs="Times New Roman"/>
                <w:bCs/>
                <w:sz w:val="18"/>
                <w:lang w:val="en-GB"/>
              </w:rPr>
              <w:t xml:space="preserve"> B. </w:t>
            </w:r>
            <w:proofErr w:type="spellStart"/>
            <w:r w:rsidRPr="005232D8">
              <w:rPr>
                <w:rFonts w:eastAsia="Times New Roman" w:cs="Times New Roman"/>
                <w:bCs/>
                <w:sz w:val="18"/>
                <w:lang w:val="en-GB"/>
              </w:rPr>
              <w:t>Vukelić</w:t>
            </w:r>
            <w:proofErr w:type="spellEnd"/>
          </w:p>
        </w:tc>
      </w:tr>
      <w:tr w:rsidR="002E72E1" w:rsidRPr="005E7866" w:rsidTr="00F94DB3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2E72E1" w:rsidRPr="005E7866" w:rsidRDefault="002E72E1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7866">
              <w:rPr>
                <w:rFonts w:ascii="Arial" w:hAnsi="Arial" w:cs="Arial"/>
                <w:sz w:val="16"/>
                <w:szCs w:val="16"/>
                <w:lang w:val="en-GB"/>
              </w:rPr>
              <w:t>Course status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2E72E1" w:rsidRPr="005E7866" w:rsidRDefault="002E72E1" w:rsidP="00F94DB3">
            <w:pPr>
              <w:rPr>
                <w:lang w:val="en-GB"/>
              </w:rPr>
            </w:pPr>
            <w:r w:rsidRPr="005E7866">
              <w:rPr>
                <w:sz w:val="18"/>
                <w:szCs w:val="18"/>
                <w:lang w:val="en-GB"/>
              </w:rPr>
              <w:t>Elective</w:t>
            </w:r>
          </w:p>
        </w:tc>
      </w:tr>
      <w:tr w:rsidR="002E72E1" w:rsidRPr="005E7866" w:rsidTr="00F94DB3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E72E1" w:rsidRPr="005E7866" w:rsidRDefault="002E72E1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7866">
              <w:rPr>
                <w:rFonts w:ascii="Arial" w:hAnsi="Arial" w:cs="Arial"/>
                <w:sz w:val="16"/>
                <w:szCs w:val="16"/>
                <w:lang w:val="en-GB"/>
              </w:rPr>
              <w:t>Number of active teaching classes (weekly)</w:t>
            </w:r>
          </w:p>
        </w:tc>
      </w:tr>
      <w:tr w:rsidR="002E72E1" w:rsidRPr="005E7866" w:rsidTr="00F94DB3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2E1" w:rsidRPr="005E7866" w:rsidRDefault="002E72E1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7866">
              <w:rPr>
                <w:rFonts w:ascii="Arial" w:hAnsi="Arial" w:cs="Arial"/>
                <w:sz w:val="16"/>
                <w:szCs w:val="16"/>
                <w:lang w:val="en-GB"/>
              </w:rPr>
              <w:t>Lectures: 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2E1" w:rsidRPr="005E7866" w:rsidRDefault="002E72E1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7866">
              <w:rPr>
                <w:rFonts w:ascii="Arial" w:hAnsi="Arial" w:cs="Arial"/>
                <w:sz w:val="16"/>
                <w:szCs w:val="16"/>
                <w:lang w:val="en-GB"/>
              </w:rPr>
              <w:t>Tutorials: 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2E1" w:rsidRPr="005E7866" w:rsidRDefault="002E72E1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7866">
              <w:rPr>
                <w:rFonts w:ascii="Arial" w:hAnsi="Arial" w:cs="Arial"/>
                <w:sz w:val="16"/>
                <w:szCs w:val="16"/>
                <w:lang w:val="en-GB"/>
              </w:rPr>
              <w:t>Other teaching types: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2E1" w:rsidRPr="005E7866" w:rsidRDefault="002E72E1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7866">
              <w:rPr>
                <w:rFonts w:ascii="Arial" w:hAnsi="Arial" w:cs="Arial"/>
                <w:sz w:val="16"/>
                <w:szCs w:val="16"/>
                <w:lang w:val="en-GB"/>
              </w:rPr>
              <w:t>Study research work: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2E1" w:rsidRPr="005E7866" w:rsidRDefault="002E72E1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7866">
              <w:rPr>
                <w:rFonts w:ascii="Arial" w:hAnsi="Arial" w:cs="Arial"/>
                <w:sz w:val="16"/>
                <w:szCs w:val="16"/>
                <w:lang w:val="en-GB"/>
              </w:rPr>
              <w:t>Other classes:</w:t>
            </w:r>
          </w:p>
        </w:tc>
      </w:tr>
      <w:tr w:rsidR="002E72E1" w:rsidRPr="005E7866" w:rsidTr="00F94DB3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2E72E1" w:rsidRPr="005E7866" w:rsidRDefault="002E72E1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7866">
              <w:rPr>
                <w:rFonts w:ascii="Arial" w:hAnsi="Arial" w:cs="Arial"/>
                <w:sz w:val="16"/>
                <w:szCs w:val="16"/>
                <w:lang w:val="en-GB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2E72E1" w:rsidRPr="005E7866" w:rsidRDefault="002E72E1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7866">
              <w:rPr>
                <w:rFonts w:ascii="Arial" w:hAnsi="Arial" w:cs="Arial"/>
                <w:sz w:val="16"/>
                <w:szCs w:val="16"/>
                <w:lang w:val="en-GB"/>
              </w:rPr>
              <w:t>None</w:t>
            </w:r>
          </w:p>
        </w:tc>
      </w:tr>
      <w:tr w:rsidR="002E72E1" w:rsidRPr="005E7866" w:rsidTr="00F94DB3">
        <w:tc>
          <w:tcPr>
            <w:tcW w:w="9622" w:type="dxa"/>
            <w:gridSpan w:val="11"/>
          </w:tcPr>
          <w:p w:rsidR="002E72E1" w:rsidRPr="005E1687" w:rsidRDefault="002E72E1" w:rsidP="002E72E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1687">
              <w:rPr>
                <w:rFonts w:ascii="Arial" w:hAnsi="Arial" w:cs="Arial"/>
                <w:sz w:val="16"/>
                <w:szCs w:val="16"/>
                <w:lang w:val="en-GB"/>
              </w:rPr>
              <w:t>Educational goal</w:t>
            </w:r>
          </w:p>
          <w:p w:rsidR="002E72E1" w:rsidRPr="005E7866" w:rsidRDefault="002E72E1" w:rsidP="00F94DB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Gaining </w:t>
            </w:r>
            <w:r w:rsidRPr="005E7866">
              <w:rPr>
                <w:sz w:val="18"/>
                <w:szCs w:val="18"/>
                <w:lang w:val="en-GB"/>
              </w:rPr>
              <w:t xml:space="preserve">theoretical and practical knowledge on managing production and business in agricultural and food industry (operative and strategic). </w:t>
            </w:r>
            <w:r>
              <w:rPr>
                <w:sz w:val="18"/>
                <w:szCs w:val="18"/>
                <w:lang w:val="en-GB"/>
              </w:rPr>
              <w:t xml:space="preserve">Learning about </w:t>
            </w:r>
            <w:r w:rsidRPr="005E7866">
              <w:rPr>
                <w:sz w:val="18"/>
                <w:szCs w:val="18"/>
                <w:lang w:val="en-GB"/>
              </w:rPr>
              <w:t xml:space="preserve">the methods and types of management </w:t>
            </w:r>
            <w:r>
              <w:rPr>
                <w:sz w:val="18"/>
                <w:szCs w:val="18"/>
                <w:lang w:val="en-GB"/>
              </w:rPr>
              <w:t xml:space="preserve">in </w:t>
            </w:r>
            <w:r w:rsidRPr="005E7866">
              <w:rPr>
                <w:sz w:val="18"/>
                <w:szCs w:val="18"/>
                <w:lang w:val="en-GB"/>
              </w:rPr>
              <w:t>production and business systems in large agricultural businesses.</w:t>
            </w:r>
          </w:p>
        </w:tc>
      </w:tr>
      <w:tr w:rsidR="002E72E1" w:rsidRPr="005E7866" w:rsidTr="00F94DB3">
        <w:tc>
          <w:tcPr>
            <w:tcW w:w="9622" w:type="dxa"/>
            <w:gridSpan w:val="11"/>
          </w:tcPr>
          <w:p w:rsidR="002E72E1" w:rsidRPr="005E7866" w:rsidRDefault="002E72E1" w:rsidP="002E72E1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7866">
              <w:rPr>
                <w:rFonts w:ascii="Arial" w:hAnsi="Arial" w:cs="Arial"/>
                <w:sz w:val="16"/>
                <w:szCs w:val="16"/>
                <w:lang w:val="en-GB"/>
              </w:rPr>
              <w:t>Educational outcomes</w:t>
            </w:r>
          </w:p>
          <w:p w:rsidR="002E72E1" w:rsidRPr="005E7866" w:rsidRDefault="002E72E1" w:rsidP="00F94DB3">
            <w:pPr>
              <w:rPr>
                <w:sz w:val="18"/>
                <w:szCs w:val="18"/>
                <w:lang w:val="en-GB"/>
              </w:rPr>
            </w:pPr>
            <w:r w:rsidRPr="005E7866">
              <w:rPr>
                <w:sz w:val="18"/>
                <w:szCs w:val="18"/>
                <w:lang w:val="en-GB"/>
              </w:rPr>
              <w:t xml:space="preserve">Students will be capable of managing business systems (cooperatives, companies and complex business systems in agricultural and </w:t>
            </w:r>
            <w:r>
              <w:rPr>
                <w:sz w:val="18"/>
                <w:szCs w:val="18"/>
                <w:lang w:val="en-GB"/>
              </w:rPr>
              <w:t xml:space="preserve">processing </w:t>
            </w:r>
            <w:r w:rsidRPr="005E7866">
              <w:rPr>
                <w:sz w:val="18"/>
                <w:szCs w:val="18"/>
                <w:lang w:val="en-GB"/>
              </w:rPr>
              <w:t>industry)</w:t>
            </w:r>
            <w:r>
              <w:rPr>
                <w:sz w:val="18"/>
                <w:szCs w:val="18"/>
                <w:lang w:val="en-GB"/>
              </w:rPr>
              <w:t xml:space="preserve">, including </w:t>
            </w:r>
            <w:r w:rsidRPr="005E7866">
              <w:rPr>
                <w:sz w:val="18"/>
                <w:szCs w:val="18"/>
                <w:lang w:val="en-GB"/>
              </w:rPr>
              <w:t xml:space="preserve">macroeconomic systems in the area of operative and strategic management. Application of modern methods of management. Emphasising and developing the role and importance of management in business systems </w:t>
            </w:r>
            <w:r>
              <w:rPr>
                <w:sz w:val="18"/>
                <w:szCs w:val="18"/>
                <w:lang w:val="en-GB"/>
              </w:rPr>
              <w:t xml:space="preserve">of </w:t>
            </w:r>
            <w:r w:rsidRPr="005E7866">
              <w:rPr>
                <w:sz w:val="18"/>
                <w:szCs w:val="18"/>
                <w:lang w:val="en-GB"/>
              </w:rPr>
              <w:t xml:space="preserve">large agricultural businesses. </w:t>
            </w:r>
          </w:p>
        </w:tc>
      </w:tr>
      <w:tr w:rsidR="002E72E1" w:rsidRPr="005E7866" w:rsidTr="00F94DB3">
        <w:tc>
          <w:tcPr>
            <w:tcW w:w="9622" w:type="dxa"/>
            <w:gridSpan w:val="11"/>
          </w:tcPr>
          <w:p w:rsidR="002E72E1" w:rsidRPr="005E7866" w:rsidRDefault="002E72E1" w:rsidP="002E72E1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7866">
              <w:rPr>
                <w:rFonts w:ascii="Arial" w:hAnsi="Arial" w:cs="Arial"/>
                <w:sz w:val="16"/>
                <w:szCs w:val="16"/>
                <w:lang w:val="en-GB"/>
              </w:rPr>
              <w:t>Course content</w:t>
            </w:r>
          </w:p>
          <w:p w:rsidR="002E72E1" w:rsidRPr="005E7866" w:rsidRDefault="002E72E1" w:rsidP="00F94DB3">
            <w:pPr>
              <w:rPr>
                <w:i/>
                <w:sz w:val="18"/>
                <w:szCs w:val="18"/>
                <w:lang w:val="en-GB"/>
              </w:rPr>
            </w:pPr>
            <w:r w:rsidRPr="005E7866">
              <w:rPr>
                <w:i/>
                <w:sz w:val="18"/>
                <w:szCs w:val="18"/>
                <w:lang w:val="en-GB"/>
              </w:rPr>
              <w:t>Theoretical Instruction</w:t>
            </w:r>
          </w:p>
          <w:p w:rsidR="002E72E1" w:rsidRPr="005E7866" w:rsidRDefault="002E72E1" w:rsidP="00F94DB3">
            <w:pPr>
              <w:rPr>
                <w:sz w:val="12"/>
                <w:szCs w:val="18"/>
                <w:lang w:val="en-GB"/>
              </w:rPr>
            </w:pPr>
            <w:r w:rsidRPr="005E7866">
              <w:rPr>
                <w:sz w:val="18"/>
                <w:szCs w:val="18"/>
                <w:lang w:val="en-GB"/>
              </w:rPr>
              <w:t>Introduction, system approach, concept and classification of</w:t>
            </w:r>
            <w:r w:rsidRPr="005E78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r w:rsidRPr="005E7866">
              <w:rPr>
                <w:rFonts w:eastAsia="Times New Roman" w:cs="Times New Roman"/>
                <w:sz w:val="18"/>
                <w:szCs w:val="24"/>
                <w:lang w:val="en-GB"/>
              </w:rPr>
              <w:t>agribusiness management, macro-agribusiness management (regionalisation of agriculture, models for optimisation of development, agricultural policies, agricultural extension), agribusiness management (horizontal and vertical production structure of agriculture, organi</w:t>
            </w:r>
            <w:r>
              <w:rPr>
                <w:rFonts w:eastAsia="Times New Roman" w:cs="Times New Roman"/>
                <w:sz w:val="18"/>
                <w:szCs w:val="24"/>
                <w:lang w:val="en-GB"/>
              </w:rPr>
              <w:t>s</w:t>
            </w:r>
            <w:r w:rsidRPr="005E7866">
              <w:rPr>
                <w:rFonts w:eastAsia="Times New Roman" w:cs="Times New Roman"/>
                <w:sz w:val="18"/>
                <w:szCs w:val="24"/>
                <w:lang w:val="en-GB"/>
              </w:rPr>
              <w:t xml:space="preserve">ational structure </w:t>
            </w:r>
            <w:r>
              <w:rPr>
                <w:rFonts w:eastAsia="Times New Roman" w:cs="Times New Roman"/>
                <w:sz w:val="18"/>
                <w:szCs w:val="24"/>
                <w:lang w:val="en-GB"/>
              </w:rPr>
              <w:t>of business systems, management of agricultural production</w:t>
            </w:r>
            <w:r w:rsidRPr="005E7866">
              <w:rPr>
                <w:rFonts w:eastAsia="Times New Roman" w:cs="Times New Roman"/>
                <w:sz w:val="18"/>
                <w:szCs w:val="24"/>
                <w:lang w:val="en-GB"/>
              </w:rPr>
              <w:t xml:space="preserve">), </w:t>
            </w:r>
            <w:r>
              <w:rPr>
                <w:rFonts w:eastAsia="Times New Roman" w:cs="Times New Roman"/>
                <w:sz w:val="18"/>
                <w:szCs w:val="24"/>
                <w:lang w:val="en-GB"/>
              </w:rPr>
              <w:t>manager in agriculture (fundamentals of management, management and leadership, levels of management and leadership, decision making, methods of management, personality of a manager, psychology in management, management styles)</w:t>
            </w:r>
          </w:p>
          <w:p w:rsidR="002E72E1" w:rsidRDefault="002E72E1" w:rsidP="00F94DB3">
            <w:pPr>
              <w:rPr>
                <w:i/>
                <w:sz w:val="18"/>
                <w:szCs w:val="18"/>
                <w:lang w:val="en-GB"/>
              </w:rPr>
            </w:pPr>
            <w:r w:rsidRPr="005E7866">
              <w:rPr>
                <w:i/>
                <w:sz w:val="18"/>
                <w:szCs w:val="18"/>
                <w:lang w:val="en-GB"/>
              </w:rPr>
              <w:t>Practical Instruction</w:t>
            </w:r>
          </w:p>
          <w:p w:rsidR="002E72E1" w:rsidRPr="005E7866" w:rsidRDefault="002E72E1" w:rsidP="00F94DB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During tutorials, students work on case studies related to management of operating and developing business systems in agricultural industry.</w:t>
            </w:r>
          </w:p>
        </w:tc>
      </w:tr>
      <w:tr w:rsidR="002E72E1" w:rsidRPr="005E7866" w:rsidTr="00F94DB3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2E72E1" w:rsidRPr="005E7866" w:rsidRDefault="002E72E1" w:rsidP="002E72E1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7866">
              <w:rPr>
                <w:rFonts w:ascii="Arial" w:hAnsi="Arial" w:cs="Arial"/>
                <w:sz w:val="16"/>
                <w:szCs w:val="16"/>
                <w:lang w:val="en-GB"/>
              </w:rPr>
              <w:t>Teaching methods</w:t>
            </w:r>
          </w:p>
          <w:p w:rsidR="002E72E1" w:rsidRPr="005E7866" w:rsidRDefault="002E72E1" w:rsidP="00F94DB3">
            <w:pPr>
              <w:rPr>
                <w:sz w:val="18"/>
                <w:szCs w:val="18"/>
                <w:lang w:val="en-GB"/>
              </w:rPr>
            </w:pPr>
            <w:r w:rsidRPr="005E7866">
              <w:rPr>
                <w:rFonts w:ascii="Arial" w:hAnsi="Arial" w:cs="Arial"/>
                <w:sz w:val="16"/>
                <w:szCs w:val="16"/>
                <w:lang w:val="en-GB"/>
              </w:rPr>
              <w:t>L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ectures using LCD projector. </w:t>
            </w:r>
            <w:r w:rsidRPr="005E7866">
              <w:rPr>
                <w:rFonts w:ascii="Arial" w:hAnsi="Arial" w:cs="Arial"/>
                <w:sz w:val="16"/>
                <w:szCs w:val="16"/>
                <w:lang w:val="en-GB"/>
              </w:rPr>
              <w:t>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u</w:t>
            </w:r>
            <w:r w:rsidRPr="005E7866">
              <w:rPr>
                <w:rFonts w:ascii="Arial" w:hAnsi="Arial" w:cs="Arial"/>
                <w:sz w:val="16"/>
                <w:szCs w:val="16"/>
                <w:lang w:val="en-GB"/>
              </w:rPr>
              <w:t>torials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with active participation of students.</w:t>
            </w:r>
            <w:r w:rsidRPr="005E786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Expert visits to business systems in agricultural businesses.</w:t>
            </w:r>
          </w:p>
        </w:tc>
      </w:tr>
      <w:tr w:rsidR="002E72E1" w:rsidRPr="005E7866" w:rsidTr="00F94DB3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E72E1" w:rsidRPr="005E7866" w:rsidRDefault="002E72E1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7866">
              <w:rPr>
                <w:rFonts w:ascii="Arial" w:hAnsi="Arial" w:cs="Arial"/>
                <w:sz w:val="16"/>
                <w:szCs w:val="16"/>
                <w:lang w:val="en-GB"/>
              </w:rPr>
              <w:t>Knowledge evaluation (maximum 100 points)</w:t>
            </w:r>
          </w:p>
        </w:tc>
      </w:tr>
      <w:tr w:rsidR="002E72E1" w:rsidRPr="005E7866" w:rsidTr="00F94DB3">
        <w:tc>
          <w:tcPr>
            <w:tcW w:w="2376" w:type="dxa"/>
            <w:gridSpan w:val="3"/>
            <w:shd w:val="clear" w:color="auto" w:fill="auto"/>
            <w:vAlign w:val="center"/>
          </w:tcPr>
          <w:p w:rsidR="002E72E1" w:rsidRPr="005E7866" w:rsidRDefault="002E72E1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7866">
              <w:rPr>
                <w:rFonts w:ascii="Arial" w:hAnsi="Arial" w:cs="Arial"/>
                <w:sz w:val="16"/>
                <w:szCs w:val="16"/>
                <w:lang w:val="en-GB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2E1" w:rsidRPr="005E7866" w:rsidRDefault="002E72E1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7866">
              <w:rPr>
                <w:rFonts w:ascii="Arial" w:hAnsi="Arial" w:cs="Arial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2E72E1" w:rsidRPr="005E7866" w:rsidRDefault="002E72E1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7866">
              <w:rPr>
                <w:rFonts w:ascii="Arial" w:hAnsi="Arial" w:cs="Arial"/>
                <w:sz w:val="16"/>
                <w:szCs w:val="16"/>
                <w:lang w:val="en-GB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2E72E1" w:rsidRPr="005E7866" w:rsidRDefault="002E72E1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7866">
              <w:rPr>
                <w:rFonts w:ascii="Arial" w:hAnsi="Arial" w:cs="Arial"/>
                <w:sz w:val="16"/>
                <w:szCs w:val="16"/>
                <w:lang w:val="en-GB"/>
              </w:rPr>
              <w:t xml:space="preserve">Final exam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E72E1" w:rsidRPr="005E7866" w:rsidRDefault="002E72E1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7866">
              <w:rPr>
                <w:rFonts w:ascii="Arial" w:hAnsi="Arial" w:cs="Arial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E72E1" w:rsidRPr="005E7866" w:rsidRDefault="002E72E1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7866">
              <w:rPr>
                <w:rFonts w:ascii="Arial" w:hAnsi="Arial" w:cs="Arial"/>
                <w:sz w:val="16"/>
                <w:szCs w:val="16"/>
                <w:lang w:val="en-GB"/>
              </w:rPr>
              <w:t>Points</w:t>
            </w:r>
          </w:p>
        </w:tc>
      </w:tr>
      <w:tr w:rsidR="002E72E1" w:rsidRPr="005E7866" w:rsidTr="00F94DB3">
        <w:tc>
          <w:tcPr>
            <w:tcW w:w="2376" w:type="dxa"/>
            <w:gridSpan w:val="3"/>
            <w:shd w:val="clear" w:color="auto" w:fill="auto"/>
            <w:vAlign w:val="center"/>
          </w:tcPr>
          <w:p w:rsidR="002E72E1" w:rsidRPr="005E7866" w:rsidRDefault="002E72E1" w:rsidP="00F94DB3">
            <w:pPr>
              <w:rPr>
                <w:sz w:val="18"/>
                <w:szCs w:val="18"/>
                <w:lang w:val="en-GB"/>
              </w:rPr>
            </w:pPr>
            <w:r w:rsidRPr="005E7866">
              <w:rPr>
                <w:sz w:val="18"/>
                <w:szCs w:val="18"/>
                <w:lang w:val="en-GB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2E1" w:rsidRPr="005E7866" w:rsidRDefault="002E72E1" w:rsidP="00F94DB3">
            <w:pPr>
              <w:jc w:val="center"/>
              <w:rPr>
                <w:lang w:val="en-GB"/>
              </w:rPr>
            </w:pPr>
            <w:r w:rsidRPr="005E7866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2E72E1" w:rsidRPr="005E7866" w:rsidRDefault="002E72E1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2E72E1" w:rsidRPr="005E7866" w:rsidRDefault="002E72E1" w:rsidP="00F94DB3">
            <w:pPr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  <w:r w:rsidRPr="005E7866">
              <w:rPr>
                <w:rFonts w:ascii="Arial" w:hAnsi="Arial" w:cs="Arial"/>
                <w:i/>
                <w:sz w:val="14"/>
                <w:szCs w:val="14"/>
                <w:lang w:val="en-GB"/>
              </w:rPr>
              <w:t>Oral part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E72E1" w:rsidRPr="005E7866" w:rsidRDefault="002E72E1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7866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E72E1" w:rsidRPr="005E7866" w:rsidRDefault="002E72E1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50</w:t>
            </w:r>
          </w:p>
        </w:tc>
      </w:tr>
      <w:tr w:rsidR="002E72E1" w:rsidRPr="005E7866" w:rsidTr="00F94DB3">
        <w:tc>
          <w:tcPr>
            <w:tcW w:w="2376" w:type="dxa"/>
            <w:gridSpan w:val="3"/>
            <w:shd w:val="clear" w:color="auto" w:fill="auto"/>
            <w:vAlign w:val="center"/>
          </w:tcPr>
          <w:p w:rsidR="002E72E1" w:rsidRPr="005E7866" w:rsidRDefault="002E72E1" w:rsidP="00F94DB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Practical work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2E1" w:rsidRPr="005E7866" w:rsidRDefault="002E72E1" w:rsidP="00F94DB3">
            <w:pPr>
              <w:jc w:val="center"/>
              <w:rPr>
                <w:lang w:val="en-GB"/>
              </w:rPr>
            </w:pPr>
            <w:r w:rsidRPr="005E7866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2E72E1" w:rsidRPr="005E7866" w:rsidRDefault="002E72E1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25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2E72E1" w:rsidRPr="005E7866" w:rsidRDefault="002E72E1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E72E1" w:rsidRPr="005E7866" w:rsidTr="00F94DB3">
        <w:tc>
          <w:tcPr>
            <w:tcW w:w="2376" w:type="dxa"/>
            <w:gridSpan w:val="3"/>
            <w:shd w:val="clear" w:color="auto" w:fill="auto"/>
            <w:vAlign w:val="center"/>
          </w:tcPr>
          <w:p w:rsidR="002E72E1" w:rsidRPr="005E7866" w:rsidRDefault="002E72E1" w:rsidP="00F94DB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Tests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2E1" w:rsidRPr="005E7866" w:rsidRDefault="002E72E1" w:rsidP="00F94DB3">
            <w:pPr>
              <w:jc w:val="center"/>
              <w:rPr>
                <w:lang w:val="en-GB"/>
              </w:rPr>
            </w:pPr>
            <w:r w:rsidRPr="005E7866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2E72E1" w:rsidRPr="005E7866" w:rsidRDefault="002E72E1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2E72E1" w:rsidRPr="005E7866" w:rsidRDefault="002E72E1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E72E1" w:rsidRPr="005E7866" w:rsidTr="00F94DB3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2E1" w:rsidRPr="005E7866" w:rsidRDefault="002E72E1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Seminar papers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2E1" w:rsidRPr="005E7866" w:rsidRDefault="002E72E1" w:rsidP="00F94DB3">
            <w:pPr>
              <w:jc w:val="center"/>
              <w:rPr>
                <w:lang w:val="en-GB"/>
              </w:rPr>
            </w:pPr>
            <w:r w:rsidRPr="005E7866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2E1" w:rsidRPr="005E7866" w:rsidRDefault="002E72E1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2E1" w:rsidRPr="005E7866" w:rsidRDefault="002E72E1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E72E1" w:rsidRPr="005E7866" w:rsidTr="00F94DB3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2E72E1" w:rsidRPr="005E7866" w:rsidRDefault="002E72E1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7866">
              <w:rPr>
                <w:rFonts w:ascii="Arial" w:hAnsi="Arial" w:cs="Arial"/>
                <w:sz w:val="16"/>
                <w:szCs w:val="16"/>
                <w:lang w:val="en-GB"/>
              </w:rPr>
              <w:t xml:space="preserve">Literature </w:t>
            </w:r>
          </w:p>
        </w:tc>
      </w:tr>
      <w:tr w:rsidR="002E72E1" w:rsidRPr="005E7866" w:rsidTr="00F94DB3">
        <w:tc>
          <w:tcPr>
            <w:tcW w:w="675" w:type="dxa"/>
            <w:vAlign w:val="center"/>
          </w:tcPr>
          <w:p w:rsidR="002E72E1" w:rsidRPr="005E7866" w:rsidRDefault="002E72E1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7866">
              <w:rPr>
                <w:rFonts w:ascii="Arial" w:hAnsi="Arial" w:cs="Arial"/>
                <w:sz w:val="16"/>
                <w:szCs w:val="16"/>
                <w:lang w:val="en-GB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2E72E1" w:rsidRPr="005E7866" w:rsidRDefault="002E72E1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7866">
              <w:rPr>
                <w:rFonts w:ascii="Arial" w:hAnsi="Arial" w:cs="Arial"/>
                <w:sz w:val="16"/>
                <w:szCs w:val="16"/>
                <w:lang w:val="en-GB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2E72E1" w:rsidRPr="005E7866" w:rsidRDefault="002E72E1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7866">
              <w:rPr>
                <w:rFonts w:ascii="Arial" w:hAnsi="Arial" w:cs="Arial"/>
                <w:sz w:val="16"/>
                <w:szCs w:val="16"/>
                <w:lang w:val="en-GB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2E72E1" w:rsidRPr="005E7866" w:rsidRDefault="002E72E1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7866">
              <w:rPr>
                <w:rFonts w:ascii="Arial" w:hAnsi="Arial" w:cs="Arial"/>
                <w:sz w:val="16"/>
                <w:szCs w:val="16"/>
                <w:lang w:val="en-GB"/>
              </w:rPr>
              <w:t>Publisher</w:t>
            </w:r>
          </w:p>
        </w:tc>
        <w:tc>
          <w:tcPr>
            <w:tcW w:w="1150" w:type="dxa"/>
            <w:vAlign w:val="center"/>
          </w:tcPr>
          <w:p w:rsidR="002E72E1" w:rsidRPr="005E7866" w:rsidRDefault="002E72E1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7866">
              <w:rPr>
                <w:rFonts w:ascii="Arial" w:hAnsi="Arial" w:cs="Arial"/>
                <w:sz w:val="16"/>
                <w:szCs w:val="16"/>
                <w:lang w:val="en-GB"/>
              </w:rPr>
              <w:t>Year</w:t>
            </w:r>
          </w:p>
        </w:tc>
      </w:tr>
      <w:tr w:rsidR="002E72E1" w:rsidRPr="005E7866" w:rsidTr="00F94DB3">
        <w:tc>
          <w:tcPr>
            <w:tcW w:w="675" w:type="dxa"/>
            <w:vAlign w:val="center"/>
          </w:tcPr>
          <w:p w:rsidR="002E72E1" w:rsidRPr="00B077B3" w:rsidRDefault="002E72E1" w:rsidP="002E72E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E72E1" w:rsidRPr="00B077B3" w:rsidRDefault="002E72E1" w:rsidP="00F94DB3">
            <w:pPr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B077B3">
              <w:rPr>
                <w:rFonts w:ascii="Arial" w:eastAsia="Times New Roman" w:hAnsi="Arial" w:cs="Arial"/>
                <w:sz w:val="12"/>
                <w:szCs w:val="16"/>
                <w:lang w:val="sr-Cyrl-CS"/>
              </w:rPr>
              <w:t>Novković N., Šomođi Š.</w:t>
            </w:r>
          </w:p>
        </w:tc>
        <w:tc>
          <w:tcPr>
            <w:tcW w:w="2435" w:type="dxa"/>
            <w:gridSpan w:val="3"/>
            <w:vAlign w:val="center"/>
          </w:tcPr>
          <w:p w:rsidR="002E72E1" w:rsidRPr="00B077B3" w:rsidRDefault="002E72E1" w:rsidP="00F94DB3">
            <w:pPr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B077B3">
              <w:rPr>
                <w:rFonts w:ascii="Arial" w:eastAsia="Times New Roman" w:hAnsi="Arial" w:cs="Arial"/>
                <w:sz w:val="12"/>
                <w:szCs w:val="16"/>
                <w:lang w:val="sr-Cyrl-CS"/>
              </w:rPr>
              <w:t>Agromenadžment</w:t>
            </w:r>
          </w:p>
        </w:tc>
        <w:tc>
          <w:tcPr>
            <w:tcW w:w="3661" w:type="dxa"/>
            <w:gridSpan w:val="4"/>
            <w:vAlign w:val="center"/>
          </w:tcPr>
          <w:p w:rsidR="002E72E1" w:rsidRPr="00B077B3" w:rsidRDefault="002E72E1" w:rsidP="00F94DB3">
            <w:pPr>
              <w:ind w:left="49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B077B3">
              <w:rPr>
                <w:rFonts w:ascii="Arial" w:eastAsia="Times New Roman" w:hAnsi="Arial" w:cs="Arial"/>
                <w:sz w:val="12"/>
                <w:szCs w:val="16"/>
                <w:lang w:val="sr-Cyrl-CS"/>
              </w:rPr>
              <w:t xml:space="preserve">PKB – Centar za informisanje, Beograd  </w:t>
            </w:r>
          </w:p>
        </w:tc>
        <w:tc>
          <w:tcPr>
            <w:tcW w:w="1150" w:type="dxa"/>
            <w:vAlign w:val="center"/>
          </w:tcPr>
          <w:p w:rsidR="002E72E1" w:rsidRPr="00B077B3" w:rsidRDefault="002E72E1" w:rsidP="00F94DB3">
            <w:pPr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B077B3">
              <w:rPr>
                <w:rFonts w:ascii="Arial" w:hAnsi="Arial" w:cs="Arial"/>
                <w:sz w:val="12"/>
                <w:szCs w:val="16"/>
                <w:lang w:val="en-GB"/>
              </w:rPr>
              <w:t>1999</w:t>
            </w:r>
          </w:p>
        </w:tc>
      </w:tr>
      <w:tr w:rsidR="002E72E1" w:rsidRPr="005E7866" w:rsidTr="00F94DB3">
        <w:tc>
          <w:tcPr>
            <w:tcW w:w="675" w:type="dxa"/>
            <w:vAlign w:val="center"/>
          </w:tcPr>
          <w:p w:rsidR="002E72E1" w:rsidRPr="00B077B3" w:rsidRDefault="002E72E1" w:rsidP="002E72E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E72E1" w:rsidRPr="00B077B3" w:rsidRDefault="002E72E1" w:rsidP="00F94DB3">
            <w:pPr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B077B3">
              <w:rPr>
                <w:rFonts w:ascii="Arial" w:eastAsia="Times New Roman" w:hAnsi="Arial" w:cs="Arial"/>
                <w:sz w:val="12"/>
                <w:szCs w:val="16"/>
                <w:lang w:val="sr-Cyrl-CS"/>
              </w:rPr>
              <w:t>Novković, N.</w:t>
            </w:r>
          </w:p>
        </w:tc>
        <w:tc>
          <w:tcPr>
            <w:tcW w:w="2435" w:type="dxa"/>
            <w:gridSpan w:val="3"/>
            <w:vAlign w:val="center"/>
          </w:tcPr>
          <w:p w:rsidR="002E72E1" w:rsidRPr="00B077B3" w:rsidRDefault="002E72E1" w:rsidP="00F94DB3">
            <w:pPr>
              <w:rPr>
                <w:rFonts w:ascii="Arial" w:hAnsi="Arial" w:cs="Arial"/>
                <w:sz w:val="12"/>
                <w:szCs w:val="16"/>
              </w:rPr>
            </w:pPr>
            <w:r w:rsidRPr="00B077B3">
              <w:rPr>
                <w:rFonts w:ascii="Arial" w:eastAsia="Times New Roman" w:hAnsi="Arial" w:cs="Arial"/>
                <w:sz w:val="12"/>
                <w:szCs w:val="16"/>
                <w:lang w:val="sr-Cyrl-CS"/>
              </w:rPr>
              <w:t xml:space="preserve">Planiranje i projektovanje u poljoprivredi, </w:t>
            </w:r>
            <w:r w:rsidRPr="00B077B3">
              <w:rPr>
                <w:rFonts w:ascii="Arial" w:eastAsia="Times New Roman" w:hAnsi="Arial" w:cs="Arial"/>
                <w:sz w:val="12"/>
                <w:szCs w:val="16"/>
              </w:rPr>
              <w:t>II</w:t>
            </w:r>
            <w:r w:rsidRPr="00B077B3">
              <w:rPr>
                <w:rFonts w:ascii="Arial" w:eastAsia="Times New Roman" w:hAnsi="Arial" w:cs="Arial"/>
                <w:sz w:val="12"/>
                <w:szCs w:val="16"/>
                <w:lang w:val="sr-Cyrl-CS"/>
              </w:rPr>
              <w:t xml:space="preserve"> izdanje</w:t>
            </w:r>
          </w:p>
        </w:tc>
        <w:tc>
          <w:tcPr>
            <w:tcW w:w="3661" w:type="dxa"/>
            <w:gridSpan w:val="4"/>
            <w:vAlign w:val="center"/>
          </w:tcPr>
          <w:p w:rsidR="002E72E1" w:rsidRPr="00B077B3" w:rsidRDefault="002E72E1" w:rsidP="00F94DB3">
            <w:pPr>
              <w:ind w:left="49"/>
              <w:rPr>
                <w:rFonts w:ascii="Arial" w:eastAsia="Times New Roman" w:hAnsi="Arial" w:cs="Arial"/>
                <w:sz w:val="12"/>
                <w:szCs w:val="16"/>
                <w:lang w:val="sr-Cyrl-CS"/>
              </w:rPr>
            </w:pPr>
            <w:r w:rsidRPr="00B077B3">
              <w:rPr>
                <w:rFonts w:ascii="Arial" w:eastAsia="Times New Roman" w:hAnsi="Arial" w:cs="Arial"/>
                <w:sz w:val="12"/>
                <w:szCs w:val="16"/>
                <w:lang w:val="sr-Cyrl-CS"/>
              </w:rPr>
              <w:t>UNS, Poljoprivredni fakultet, Novi Sad</w:t>
            </w:r>
          </w:p>
          <w:p w:rsidR="002E72E1" w:rsidRPr="00B077B3" w:rsidRDefault="002E72E1" w:rsidP="00F94DB3">
            <w:pPr>
              <w:ind w:left="49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</w:p>
        </w:tc>
        <w:tc>
          <w:tcPr>
            <w:tcW w:w="1150" w:type="dxa"/>
            <w:vAlign w:val="center"/>
          </w:tcPr>
          <w:p w:rsidR="002E72E1" w:rsidRPr="00B077B3" w:rsidRDefault="002E72E1" w:rsidP="00F94DB3">
            <w:pPr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B077B3">
              <w:rPr>
                <w:rFonts w:ascii="Arial" w:hAnsi="Arial" w:cs="Arial"/>
                <w:sz w:val="12"/>
                <w:szCs w:val="16"/>
                <w:lang w:val="en-GB"/>
              </w:rPr>
              <w:t>2003</w:t>
            </w:r>
          </w:p>
        </w:tc>
      </w:tr>
      <w:tr w:rsidR="002E72E1" w:rsidRPr="005E7866" w:rsidTr="00F94DB3">
        <w:tc>
          <w:tcPr>
            <w:tcW w:w="675" w:type="dxa"/>
            <w:vAlign w:val="center"/>
          </w:tcPr>
          <w:p w:rsidR="002E72E1" w:rsidRPr="00B077B3" w:rsidRDefault="002E72E1" w:rsidP="002E72E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E72E1" w:rsidRPr="00B077B3" w:rsidRDefault="002E72E1" w:rsidP="00F94DB3">
            <w:pPr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B077B3">
              <w:rPr>
                <w:rFonts w:ascii="Arial" w:hAnsi="Arial" w:cs="Arial"/>
                <w:sz w:val="12"/>
                <w:szCs w:val="16"/>
                <w:lang w:val="en-GB"/>
              </w:rPr>
              <w:t>Group of authors</w:t>
            </w:r>
          </w:p>
        </w:tc>
        <w:tc>
          <w:tcPr>
            <w:tcW w:w="2435" w:type="dxa"/>
            <w:gridSpan w:val="3"/>
            <w:vAlign w:val="center"/>
          </w:tcPr>
          <w:p w:rsidR="002E72E1" w:rsidRPr="00B077B3" w:rsidRDefault="002E72E1" w:rsidP="00F94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B077B3">
              <w:rPr>
                <w:rFonts w:ascii="Arial" w:eastAsia="Times New Roman" w:hAnsi="Arial" w:cs="Arial"/>
                <w:bCs/>
                <w:sz w:val="12"/>
                <w:szCs w:val="16"/>
                <w:lang w:val="sr-Cyrl-CS"/>
              </w:rPr>
              <w:t>Primena operacionih istraživanja u poljoprivredi</w:t>
            </w:r>
          </w:p>
        </w:tc>
        <w:tc>
          <w:tcPr>
            <w:tcW w:w="3661" w:type="dxa"/>
            <w:gridSpan w:val="4"/>
            <w:vAlign w:val="center"/>
          </w:tcPr>
          <w:p w:rsidR="002E72E1" w:rsidRPr="00B077B3" w:rsidRDefault="002E72E1" w:rsidP="00F94DB3">
            <w:pPr>
              <w:widowControl w:val="0"/>
              <w:autoSpaceDE w:val="0"/>
              <w:autoSpaceDN w:val="0"/>
              <w:adjustRightInd w:val="0"/>
              <w:ind w:left="49"/>
              <w:rPr>
                <w:rFonts w:ascii="Arial" w:eastAsia="Times New Roman" w:hAnsi="Arial" w:cs="Arial"/>
                <w:bCs/>
                <w:sz w:val="12"/>
                <w:szCs w:val="16"/>
                <w:lang w:val="sr-Cyrl-CS"/>
              </w:rPr>
            </w:pPr>
            <w:r w:rsidRPr="00B077B3">
              <w:rPr>
                <w:rFonts w:ascii="Arial" w:eastAsia="Times New Roman" w:hAnsi="Arial" w:cs="Arial"/>
                <w:bCs/>
                <w:sz w:val="12"/>
                <w:szCs w:val="16"/>
                <w:lang w:val="sr-Cyrl-CS"/>
              </w:rPr>
              <w:t>PKB centar za informisanje i izdavačku delatnost, Beograd</w:t>
            </w:r>
          </w:p>
          <w:p w:rsidR="002E72E1" w:rsidRPr="00B077B3" w:rsidRDefault="002E72E1" w:rsidP="00F94DB3">
            <w:pPr>
              <w:ind w:left="49"/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</w:p>
        </w:tc>
        <w:tc>
          <w:tcPr>
            <w:tcW w:w="1150" w:type="dxa"/>
            <w:vAlign w:val="center"/>
          </w:tcPr>
          <w:p w:rsidR="002E72E1" w:rsidRPr="00B077B3" w:rsidRDefault="002E72E1" w:rsidP="00F94DB3">
            <w:pPr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B077B3">
              <w:rPr>
                <w:rFonts w:ascii="Arial" w:hAnsi="Arial" w:cs="Arial"/>
                <w:sz w:val="12"/>
                <w:szCs w:val="16"/>
                <w:lang w:val="en-GB"/>
              </w:rPr>
              <w:t>1997</w:t>
            </w:r>
          </w:p>
        </w:tc>
      </w:tr>
      <w:tr w:rsidR="002E72E1" w:rsidRPr="005E7866" w:rsidTr="00F94DB3">
        <w:tc>
          <w:tcPr>
            <w:tcW w:w="675" w:type="dxa"/>
            <w:vAlign w:val="center"/>
          </w:tcPr>
          <w:p w:rsidR="002E72E1" w:rsidRPr="00B077B3" w:rsidRDefault="002E72E1" w:rsidP="002E72E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E72E1" w:rsidRPr="00B077B3" w:rsidRDefault="002E72E1" w:rsidP="00F94DB3">
            <w:pPr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B077B3">
              <w:rPr>
                <w:rFonts w:ascii="Arial" w:eastAsia="Times New Roman" w:hAnsi="Arial" w:cs="Arial"/>
                <w:sz w:val="12"/>
                <w:szCs w:val="16"/>
                <w:lang w:val="sr-Cyrl-CS"/>
              </w:rPr>
              <w:t>Šomođi, Š.</w:t>
            </w:r>
          </w:p>
        </w:tc>
        <w:tc>
          <w:tcPr>
            <w:tcW w:w="2435" w:type="dxa"/>
            <w:gridSpan w:val="3"/>
            <w:vAlign w:val="center"/>
          </w:tcPr>
          <w:p w:rsidR="002E72E1" w:rsidRPr="00B077B3" w:rsidRDefault="002E72E1" w:rsidP="00F94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B077B3">
              <w:rPr>
                <w:rFonts w:ascii="Arial" w:eastAsia="Times New Roman" w:hAnsi="Arial" w:cs="Arial"/>
                <w:sz w:val="12"/>
                <w:szCs w:val="16"/>
                <w:lang w:val="sr-Cyrl-CS"/>
              </w:rPr>
              <w:t>Odlučivanje u agroindustrijskom kompleksu</w:t>
            </w:r>
          </w:p>
        </w:tc>
        <w:tc>
          <w:tcPr>
            <w:tcW w:w="3661" w:type="dxa"/>
            <w:gridSpan w:val="4"/>
            <w:vAlign w:val="center"/>
          </w:tcPr>
          <w:p w:rsidR="002E72E1" w:rsidRPr="00B077B3" w:rsidRDefault="002E72E1" w:rsidP="00F94DB3">
            <w:pPr>
              <w:widowControl w:val="0"/>
              <w:autoSpaceDE w:val="0"/>
              <w:autoSpaceDN w:val="0"/>
              <w:adjustRightInd w:val="0"/>
              <w:ind w:left="49"/>
              <w:rPr>
                <w:rFonts w:ascii="Arial" w:eastAsia="Times New Roman" w:hAnsi="Arial" w:cs="Arial"/>
                <w:bCs/>
                <w:sz w:val="12"/>
                <w:szCs w:val="16"/>
                <w:lang w:val="sr-Cyrl-CS"/>
              </w:rPr>
            </w:pPr>
            <w:r w:rsidRPr="00B077B3">
              <w:rPr>
                <w:rFonts w:ascii="Arial" w:eastAsia="Times New Roman" w:hAnsi="Arial" w:cs="Arial"/>
                <w:sz w:val="12"/>
                <w:szCs w:val="16"/>
              </w:rPr>
              <w:t>II</w:t>
            </w:r>
            <w:r w:rsidRPr="00B077B3">
              <w:rPr>
                <w:rFonts w:ascii="Arial" w:eastAsia="Times New Roman" w:hAnsi="Arial" w:cs="Arial"/>
                <w:sz w:val="12"/>
                <w:szCs w:val="16"/>
                <w:lang w:val="sr-Cyrl-CS"/>
              </w:rPr>
              <w:t>O, Subotica</w:t>
            </w:r>
          </w:p>
          <w:p w:rsidR="002E72E1" w:rsidRPr="00B077B3" w:rsidRDefault="002E72E1" w:rsidP="00F94DB3">
            <w:pPr>
              <w:ind w:left="49"/>
              <w:rPr>
                <w:rFonts w:ascii="Arial" w:hAnsi="Arial" w:cs="Arial"/>
                <w:sz w:val="12"/>
                <w:szCs w:val="16"/>
                <w:lang w:val="en-GB"/>
              </w:rPr>
            </w:pPr>
          </w:p>
        </w:tc>
        <w:tc>
          <w:tcPr>
            <w:tcW w:w="1150" w:type="dxa"/>
            <w:vAlign w:val="center"/>
          </w:tcPr>
          <w:p w:rsidR="002E72E1" w:rsidRPr="00B077B3" w:rsidRDefault="002E72E1" w:rsidP="00F94DB3">
            <w:pPr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B077B3">
              <w:rPr>
                <w:rFonts w:ascii="Arial" w:hAnsi="Arial" w:cs="Arial"/>
                <w:sz w:val="12"/>
                <w:szCs w:val="16"/>
                <w:lang w:val="en-GB"/>
              </w:rPr>
              <w:t>1986</w:t>
            </w:r>
          </w:p>
        </w:tc>
      </w:tr>
      <w:tr w:rsidR="002E72E1" w:rsidRPr="005E7866" w:rsidTr="00F94DB3">
        <w:tc>
          <w:tcPr>
            <w:tcW w:w="675" w:type="dxa"/>
            <w:vAlign w:val="center"/>
          </w:tcPr>
          <w:p w:rsidR="002E72E1" w:rsidRPr="00B077B3" w:rsidRDefault="002E72E1" w:rsidP="002E72E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E72E1" w:rsidRPr="00B077B3" w:rsidRDefault="002E72E1" w:rsidP="00F94DB3">
            <w:pPr>
              <w:rPr>
                <w:rFonts w:ascii="Arial" w:hAnsi="Arial" w:cs="Arial"/>
                <w:sz w:val="12"/>
                <w:szCs w:val="16"/>
                <w:lang w:val="en-GB"/>
              </w:rPr>
            </w:pPr>
            <w:proofErr w:type="spellStart"/>
            <w:r w:rsidRPr="00B077B3">
              <w:rPr>
                <w:rFonts w:ascii="Arial" w:eastAsia="Times New Roman" w:hAnsi="Arial" w:cs="Arial"/>
                <w:sz w:val="12"/>
              </w:rPr>
              <w:t>Beierlein</w:t>
            </w:r>
            <w:proofErr w:type="spellEnd"/>
            <w:r w:rsidRPr="00B077B3">
              <w:rPr>
                <w:rFonts w:ascii="Arial" w:eastAsia="Times New Roman" w:hAnsi="Arial" w:cs="Arial"/>
                <w:sz w:val="12"/>
              </w:rPr>
              <w:t xml:space="preserve"> J. G., </w:t>
            </w:r>
            <w:proofErr w:type="spellStart"/>
            <w:r w:rsidRPr="00B077B3">
              <w:rPr>
                <w:rFonts w:ascii="Arial" w:eastAsia="Times New Roman" w:hAnsi="Arial" w:cs="Arial"/>
                <w:sz w:val="12"/>
              </w:rPr>
              <w:t>Schneeberger</w:t>
            </w:r>
            <w:proofErr w:type="spellEnd"/>
            <w:r w:rsidRPr="00B077B3">
              <w:rPr>
                <w:rFonts w:ascii="Arial" w:eastAsia="Times New Roman" w:hAnsi="Arial" w:cs="Arial"/>
                <w:sz w:val="12"/>
              </w:rPr>
              <w:t xml:space="preserve"> K. C., </w:t>
            </w:r>
            <w:proofErr w:type="spellStart"/>
            <w:r w:rsidRPr="00B077B3">
              <w:rPr>
                <w:rFonts w:ascii="Arial" w:eastAsia="Times New Roman" w:hAnsi="Arial" w:cs="Arial"/>
                <w:sz w:val="12"/>
              </w:rPr>
              <w:t>Osburn</w:t>
            </w:r>
            <w:proofErr w:type="spellEnd"/>
            <w:r w:rsidRPr="00B077B3">
              <w:rPr>
                <w:rFonts w:ascii="Arial" w:eastAsia="Times New Roman" w:hAnsi="Arial" w:cs="Arial"/>
                <w:sz w:val="12"/>
              </w:rPr>
              <w:t xml:space="preserve"> D. D.</w:t>
            </w:r>
          </w:p>
        </w:tc>
        <w:tc>
          <w:tcPr>
            <w:tcW w:w="2435" w:type="dxa"/>
            <w:gridSpan w:val="3"/>
            <w:vAlign w:val="center"/>
          </w:tcPr>
          <w:p w:rsidR="002E72E1" w:rsidRPr="00B077B3" w:rsidRDefault="002E72E1" w:rsidP="00F94DB3">
            <w:pPr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B077B3">
              <w:rPr>
                <w:rFonts w:ascii="Arial" w:eastAsia="Times New Roman" w:hAnsi="Arial" w:cs="Arial"/>
                <w:sz w:val="12"/>
              </w:rPr>
              <w:t>Principles of Agribusiness Management</w:t>
            </w:r>
          </w:p>
        </w:tc>
        <w:tc>
          <w:tcPr>
            <w:tcW w:w="3661" w:type="dxa"/>
            <w:gridSpan w:val="4"/>
            <w:vAlign w:val="center"/>
          </w:tcPr>
          <w:p w:rsidR="002E72E1" w:rsidRPr="00B077B3" w:rsidRDefault="002E72E1" w:rsidP="00F94DB3">
            <w:pPr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B077B3">
              <w:rPr>
                <w:rFonts w:ascii="Arial" w:eastAsia="Times New Roman" w:hAnsi="Arial" w:cs="Arial"/>
                <w:sz w:val="12"/>
              </w:rPr>
              <w:t>Waveland Press, INC., Long Grove, Illinois, ISBN: 978-1-57766-540-3</w:t>
            </w:r>
          </w:p>
        </w:tc>
        <w:tc>
          <w:tcPr>
            <w:tcW w:w="1150" w:type="dxa"/>
            <w:vAlign w:val="center"/>
          </w:tcPr>
          <w:p w:rsidR="002E72E1" w:rsidRPr="00B077B3" w:rsidRDefault="002E72E1" w:rsidP="00F94DB3">
            <w:pPr>
              <w:jc w:val="center"/>
              <w:rPr>
                <w:rFonts w:ascii="Arial" w:hAnsi="Arial" w:cs="Arial"/>
                <w:sz w:val="12"/>
                <w:szCs w:val="16"/>
                <w:lang w:val="en-GB"/>
              </w:rPr>
            </w:pPr>
            <w:r w:rsidRPr="00B077B3">
              <w:rPr>
                <w:rFonts w:ascii="Arial" w:hAnsi="Arial" w:cs="Arial"/>
                <w:sz w:val="12"/>
                <w:szCs w:val="16"/>
                <w:lang w:val="en-GB"/>
              </w:rPr>
              <w:t>2008</w:t>
            </w:r>
          </w:p>
        </w:tc>
      </w:tr>
    </w:tbl>
    <w:p w:rsidR="002E72E1" w:rsidRDefault="002E72E1" w:rsidP="002E72E1"/>
    <w:p w:rsidR="00C058E7" w:rsidRDefault="00C058E7"/>
    <w:sectPr w:rsidR="00C058E7" w:rsidSect="00474BCC">
      <w:head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1818"/>
      <w:gridCol w:w="6372"/>
      <w:gridCol w:w="1432"/>
    </w:tblGrid>
    <w:tr w:rsidR="00D12518" w:rsidRPr="007A20E8" w:rsidTr="00F94DB3">
      <w:trPr>
        <w:trHeight w:val="694"/>
      </w:trPr>
      <w:tc>
        <w:tcPr>
          <w:tcW w:w="1818" w:type="dxa"/>
          <w:vMerge w:val="restart"/>
          <w:vAlign w:val="center"/>
        </w:tcPr>
        <w:p w:rsidR="00D12518" w:rsidRPr="007A20E8" w:rsidRDefault="002E72E1" w:rsidP="00F94DB3">
          <w:pPr>
            <w:jc w:val="center"/>
            <w:rPr>
              <w:lang w:val="en-GB"/>
            </w:rPr>
          </w:pPr>
          <w:r w:rsidRPr="007A20E8">
            <w:rPr>
              <w:noProof/>
            </w:rPr>
            <w:drawing>
              <wp:inline distT="0" distB="0" distL="0" distR="0">
                <wp:extent cx="836195" cy="782053"/>
                <wp:effectExtent l="0" t="0" r="0" b="0"/>
                <wp:docPr id="3" name="Picture 1" descr="Znak univerzite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5" descr="Znak univerzit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809" cy="780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tcBorders>
            <w:bottom w:val="single" w:sz="4" w:space="0" w:color="auto"/>
          </w:tcBorders>
        </w:tcPr>
        <w:p w:rsidR="00D12518" w:rsidRPr="007A20E8" w:rsidRDefault="002E72E1" w:rsidP="00F94DB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7A20E8">
            <w:rPr>
              <w:rFonts w:ascii="Arial" w:hAnsi="Arial" w:cs="Arial"/>
              <w:sz w:val="16"/>
              <w:szCs w:val="16"/>
              <w:lang w:val="en-GB"/>
            </w:rPr>
            <w:t>UNIVERSITY OF NOVI SAD</w:t>
          </w:r>
        </w:p>
        <w:p w:rsidR="00D12518" w:rsidRPr="007A20E8" w:rsidRDefault="002E72E1" w:rsidP="00F94DB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  <w:p w:rsidR="00D12518" w:rsidRPr="007A20E8" w:rsidRDefault="002E72E1" w:rsidP="00F94DB3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7A20E8">
            <w:rPr>
              <w:rFonts w:ascii="Arial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1432" w:type="dxa"/>
          <w:vMerge w:val="restart"/>
          <w:vAlign w:val="center"/>
        </w:tcPr>
        <w:p w:rsidR="00D12518" w:rsidRPr="007A20E8" w:rsidRDefault="002E72E1" w:rsidP="00F94DB3">
          <w:pPr>
            <w:jc w:val="center"/>
            <w:rPr>
              <w:lang w:val="en-GB"/>
            </w:rPr>
          </w:pPr>
          <w:r w:rsidRPr="007A20E8">
            <w:rPr>
              <w:noProof/>
            </w:rPr>
            <w:drawing>
              <wp:inline distT="0" distB="0" distL="0" distR="0">
                <wp:extent cx="677739" cy="661736"/>
                <wp:effectExtent l="19050" t="0" r="8061" b="0"/>
                <wp:docPr id="4" name="Picture 2" descr="Znak fakultet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 descr="Znak fakultet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685"/>
                            </a:clrFrom>
                            <a:clrTo>
                              <a:srgbClr val="FFF685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12" cy="6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12518" w:rsidRPr="007A20E8" w:rsidTr="00F94DB3">
      <w:trPr>
        <w:trHeight w:val="1040"/>
      </w:trPr>
      <w:tc>
        <w:tcPr>
          <w:tcW w:w="1818" w:type="dxa"/>
          <w:vMerge/>
          <w:tcBorders>
            <w:bottom w:val="single" w:sz="4" w:space="0" w:color="auto"/>
          </w:tcBorders>
        </w:tcPr>
        <w:p w:rsidR="00D12518" w:rsidRPr="007A20E8" w:rsidRDefault="002E72E1" w:rsidP="00F94DB3">
          <w:pPr>
            <w:rPr>
              <w:lang w:val="en-GB"/>
            </w:rPr>
          </w:pPr>
        </w:p>
      </w:tc>
      <w:tc>
        <w:tcPr>
          <w:tcW w:w="6372" w:type="dxa"/>
          <w:tcBorders>
            <w:bottom w:val="single" w:sz="4" w:space="0" w:color="auto"/>
          </w:tcBorders>
          <w:shd w:val="clear" w:color="auto" w:fill="C2D69B" w:themeFill="accent3" w:themeFillTint="99"/>
          <w:vAlign w:val="center"/>
        </w:tcPr>
        <w:p w:rsidR="00D12518" w:rsidRPr="007A20E8" w:rsidRDefault="002E72E1" w:rsidP="00F94DB3">
          <w:pPr>
            <w:jc w:val="center"/>
            <w:rPr>
              <w:sz w:val="28"/>
              <w:szCs w:val="28"/>
              <w:lang w:val="en-GB"/>
            </w:rPr>
          </w:pPr>
          <w:r w:rsidRPr="007A20E8">
            <w:rPr>
              <w:sz w:val="28"/>
              <w:szCs w:val="28"/>
              <w:lang w:val="en-GB"/>
            </w:rPr>
            <w:t>Study Programme Accreditation</w:t>
          </w:r>
        </w:p>
        <w:p w:rsidR="00D12518" w:rsidRPr="007A20E8" w:rsidRDefault="002E72E1" w:rsidP="00F94DB3">
          <w:pPr>
            <w:jc w:val="center"/>
            <w:rPr>
              <w:lang w:val="en-GB"/>
            </w:rPr>
          </w:pPr>
        </w:p>
        <w:p w:rsidR="00D12518" w:rsidRPr="007A20E8" w:rsidRDefault="002E72E1" w:rsidP="00F94DB3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>
            <w:rPr>
              <w:rFonts w:ascii="Arial" w:hAnsi="Arial" w:cs="Arial"/>
              <w:sz w:val="18"/>
              <w:szCs w:val="18"/>
              <w:lang w:val="en-GB"/>
            </w:rPr>
            <w:t xml:space="preserve">MASTER </w:t>
          </w:r>
          <w:r w:rsidRPr="007A20E8">
            <w:rPr>
              <w:rFonts w:ascii="Arial" w:hAnsi="Arial" w:cs="Arial"/>
              <w:sz w:val="18"/>
              <w:szCs w:val="18"/>
              <w:lang w:val="en-GB"/>
            </w:rPr>
            <w:t>ACADEMIC STUDIES                  AGRICULTURAL ECONOMICS</w:t>
          </w:r>
        </w:p>
      </w:tc>
      <w:tc>
        <w:tcPr>
          <w:tcW w:w="1432" w:type="dxa"/>
          <w:vMerge/>
          <w:tcBorders>
            <w:bottom w:val="single" w:sz="4" w:space="0" w:color="auto"/>
          </w:tcBorders>
        </w:tcPr>
        <w:p w:rsidR="00D12518" w:rsidRPr="007A20E8" w:rsidRDefault="002E72E1" w:rsidP="00F94DB3">
          <w:pPr>
            <w:rPr>
              <w:lang w:val="en-GB"/>
            </w:rPr>
          </w:pPr>
        </w:p>
      </w:tc>
    </w:tr>
    <w:tr w:rsidR="00D12518" w:rsidRPr="007A20E8" w:rsidTr="00F94DB3">
      <w:tc>
        <w:tcPr>
          <w:tcW w:w="9622" w:type="dxa"/>
          <w:gridSpan w:val="3"/>
          <w:tcBorders>
            <w:left w:val="nil"/>
            <w:bottom w:val="nil"/>
            <w:right w:val="nil"/>
          </w:tcBorders>
        </w:tcPr>
        <w:p w:rsidR="00D12518" w:rsidRPr="007A20E8" w:rsidRDefault="002E72E1" w:rsidP="00F94DB3">
          <w:pPr>
            <w:rPr>
              <w:rFonts w:ascii="Arial" w:hAnsi="Arial" w:cs="Arial"/>
              <w:sz w:val="18"/>
              <w:szCs w:val="18"/>
              <w:lang w:val="en-GB"/>
            </w:rPr>
          </w:pPr>
          <w:r w:rsidRPr="007A20E8">
            <w:rPr>
              <w:rFonts w:ascii="Arial" w:hAnsi="Arial" w:cs="Arial"/>
              <w:sz w:val="18"/>
              <w:szCs w:val="18"/>
              <w:lang w:val="en-GB"/>
            </w:rPr>
            <w:t>Table 5.2 Course specification</w:t>
          </w:r>
        </w:p>
      </w:tc>
    </w:tr>
  </w:tbl>
  <w:p w:rsidR="00D12518" w:rsidRPr="00D12518" w:rsidRDefault="002E72E1" w:rsidP="00D125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7C52"/>
    <w:multiLevelType w:val="hybridMultilevel"/>
    <w:tmpl w:val="8C66A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C124E"/>
    <w:multiLevelType w:val="hybridMultilevel"/>
    <w:tmpl w:val="C71AD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F046F"/>
    <w:multiLevelType w:val="hybridMultilevel"/>
    <w:tmpl w:val="C62E5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2E1"/>
    <w:rsid w:val="002E72E1"/>
    <w:rsid w:val="00C0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72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72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2E1"/>
  </w:style>
  <w:style w:type="paragraph" w:styleId="BalloonText">
    <w:name w:val="Balloon Text"/>
    <w:basedOn w:val="Normal"/>
    <w:link w:val="BalloonTextChar"/>
    <w:uiPriority w:val="99"/>
    <w:semiHidden/>
    <w:unhideWhenUsed/>
    <w:rsid w:val="002E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2450</Characters>
  <Application>Microsoft Office Word</Application>
  <DocSecurity>0</DocSecurity>
  <Lines>20</Lines>
  <Paragraphs>5</Paragraphs>
  <ScaleCrop>false</ScaleCrop>
  <Company>Grizli777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jelena.karapandzin</dc:creator>
  <cp:lastModifiedBy>jelena.karapandzin</cp:lastModifiedBy>
  <cp:revision>1</cp:revision>
  <dcterms:created xsi:type="dcterms:W3CDTF">2015-01-21T13:50:00Z</dcterms:created>
  <dcterms:modified xsi:type="dcterms:W3CDTF">2015-01-21T13:50:00Z</dcterms:modified>
</cp:coreProperties>
</file>