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675"/>
        <w:gridCol w:w="1417"/>
        <w:gridCol w:w="284"/>
        <w:gridCol w:w="1134"/>
        <w:gridCol w:w="567"/>
        <w:gridCol w:w="734"/>
        <w:gridCol w:w="1109"/>
        <w:gridCol w:w="1418"/>
        <w:gridCol w:w="425"/>
        <w:gridCol w:w="709"/>
        <w:gridCol w:w="1150"/>
      </w:tblGrid>
      <w:tr w:rsidR="00DE4BB4" w:rsidRPr="00AC02AE" w:rsidTr="00F56900">
        <w:trPr>
          <w:trHeight w:val="420"/>
        </w:trPr>
        <w:tc>
          <w:tcPr>
            <w:tcW w:w="2092" w:type="dxa"/>
            <w:gridSpan w:val="2"/>
            <w:shd w:val="clear" w:color="auto" w:fill="C2D69B" w:themeFill="accent3" w:themeFillTint="99"/>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Course:</w:t>
            </w:r>
          </w:p>
        </w:tc>
        <w:tc>
          <w:tcPr>
            <w:tcW w:w="7530" w:type="dxa"/>
            <w:gridSpan w:val="9"/>
            <w:vMerge w:val="restart"/>
            <w:vAlign w:val="center"/>
          </w:tcPr>
          <w:p w:rsidR="00DE4BB4" w:rsidRPr="00AC02AE" w:rsidRDefault="00DE4BB4" w:rsidP="00F56900">
            <w:pPr>
              <w:jc w:val="center"/>
              <w:rPr>
                <w:rFonts w:ascii="Arial" w:hAnsi="Arial" w:cs="Arial"/>
                <w:sz w:val="24"/>
                <w:szCs w:val="24"/>
              </w:rPr>
            </w:pPr>
            <w:r w:rsidRPr="00AC02AE">
              <w:rPr>
                <w:rFonts w:ascii="Arial" w:eastAsia="Times New Roman" w:hAnsi="Arial" w:cs="Arial"/>
                <w:sz w:val="24"/>
                <w:szCs w:val="24"/>
                <w:lang w:val="sr-Cyrl-CS"/>
              </w:rPr>
              <w:t>А</w:t>
            </w:r>
            <w:proofErr w:type="spellStart"/>
            <w:r>
              <w:rPr>
                <w:rFonts w:ascii="Arial" w:eastAsia="Times New Roman" w:hAnsi="Arial" w:cs="Arial"/>
                <w:sz w:val="24"/>
                <w:szCs w:val="24"/>
              </w:rPr>
              <w:t>ccounting</w:t>
            </w:r>
            <w:proofErr w:type="spellEnd"/>
            <w:r>
              <w:rPr>
                <w:rFonts w:ascii="Arial" w:eastAsia="Times New Roman" w:hAnsi="Arial" w:cs="Arial"/>
                <w:sz w:val="24"/>
                <w:szCs w:val="24"/>
              </w:rPr>
              <w:t xml:space="preserve"> of Agricultural E</w:t>
            </w:r>
            <w:r w:rsidRPr="00AC02AE">
              <w:rPr>
                <w:rFonts w:ascii="Arial" w:eastAsia="Times New Roman" w:hAnsi="Arial" w:cs="Arial"/>
                <w:sz w:val="24"/>
                <w:szCs w:val="24"/>
              </w:rPr>
              <w:t>nterprises</w:t>
            </w:r>
          </w:p>
        </w:tc>
      </w:tr>
      <w:tr w:rsidR="00DE4BB4" w:rsidRPr="00AC02AE" w:rsidTr="00F56900">
        <w:tc>
          <w:tcPr>
            <w:tcW w:w="2092" w:type="dxa"/>
            <w:gridSpan w:val="2"/>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Course id: 7О</w:t>
            </w:r>
            <w:r w:rsidRPr="00AC02AE">
              <w:rPr>
                <w:rFonts w:ascii="Arial" w:hAnsi="Arial" w:cs="Arial"/>
                <w:sz w:val="16"/>
                <w:szCs w:val="16"/>
                <w:lang w:val="sr-Cyrl-CS"/>
              </w:rPr>
              <w:t>АТ</w:t>
            </w:r>
            <w:r w:rsidRPr="00AC02AE">
              <w:rPr>
                <w:rFonts w:ascii="Arial" w:hAnsi="Arial" w:cs="Arial"/>
                <w:sz w:val="16"/>
                <w:szCs w:val="16"/>
              </w:rPr>
              <w:t>6</w:t>
            </w:r>
            <w:r w:rsidRPr="00AC02AE">
              <w:rPr>
                <w:rFonts w:ascii="Arial" w:hAnsi="Arial" w:cs="Arial"/>
                <w:sz w:val="16"/>
                <w:szCs w:val="16"/>
                <w:lang w:val="sr-Cyrl-CS"/>
              </w:rPr>
              <w:t>О2</w:t>
            </w:r>
            <w:r w:rsidRPr="00AC02AE">
              <w:rPr>
                <w:rFonts w:ascii="Arial" w:hAnsi="Arial" w:cs="Arial"/>
                <w:sz w:val="16"/>
                <w:szCs w:val="16"/>
              </w:rPr>
              <w:t>5</w:t>
            </w:r>
          </w:p>
        </w:tc>
        <w:tc>
          <w:tcPr>
            <w:tcW w:w="7530" w:type="dxa"/>
            <w:gridSpan w:val="9"/>
            <w:vMerge/>
          </w:tcPr>
          <w:p w:rsidR="00DE4BB4" w:rsidRPr="00AC02AE" w:rsidRDefault="00DE4BB4" w:rsidP="00F56900">
            <w:pPr>
              <w:rPr>
                <w:rFonts w:ascii="Arial" w:hAnsi="Arial" w:cs="Arial"/>
                <w:sz w:val="16"/>
                <w:szCs w:val="16"/>
              </w:rPr>
            </w:pPr>
          </w:p>
        </w:tc>
      </w:tr>
      <w:tr w:rsidR="00DE4BB4" w:rsidRPr="00AC02AE" w:rsidTr="00F56900">
        <w:tc>
          <w:tcPr>
            <w:tcW w:w="2092" w:type="dxa"/>
            <w:gridSpan w:val="2"/>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Number of ECTS: 7</w:t>
            </w:r>
          </w:p>
        </w:tc>
        <w:tc>
          <w:tcPr>
            <w:tcW w:w="7530" w:type="dxa"/>
            <w:gridSpan w:val="9"/>
            <w:vMerge/>
          </w:tcPr>
          <w:p w:rsidR="00DE4BB4" w:rsidRPr="00AC02AE" w:rsidRDefault="00DE4BB4" w:rsidP="00F56900">
            <w:pPr>
              <w:rPr>
                <w:rFonts w:ascii="Arial" w:hAnsi="Arial" w:cs="Arial"/>
                <w:sz w:val="16"/>
                <w:szCs w:val="16"/>
              </w:rPr>
            </w:pPr>
          </w:p>
        </w:tc>
      </w:tr>
      <w:tr w:rsidR="00DE4BB4" w:rsidRPr="00AC02AE" w:rsidTr="00F56900">
        <w:trPr>
          <w:trHeight w:val="113"/>
        </w:trPr>
        <w:tc>
          <w:tcPr>
            <w:tcW w:w="2092" w:type="dxa"/>
            <w:gridSpan w:val="2"/>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Teacher:</w:t>
            </w:r>
          </w:p>
        </w:tc>
        <w:tc>
          <w:tcPr>
            <w:tcW w:w="7530" w:type="dxa"/>
            <w:gridSpan w:val="9"/>
          </w:tcPr>
          <w:p w:rsidR="00DE4BB4" w:rsidRPr="00AC02AE" w:rsidRDefault="00DE4BB4" w:rsidP="00F56900">
            <w:pPr>
              <w:rPr>
                <w:rFonts w:ascii="Arial" w:hAnsi="Arial" w:cs="Arial"/>
                <w:sz w:val="16"/>
                <w:szCs w:val="16"/>
              </w:rPr>
            </w:pPr>
            <w:r w:rsidRPr="00AC02AE">
              <w:rPr>
                <w:rFonts w:ascii="Arial" w:eastAsia="Times New Roman" w:hAnsi="Arial" w:cs="Arial"/>
                <w:sz w:val="16"/>
                <w:szCs w:val="16"/>
                <w:lang w:val="sr-Cyrl-CS"/>
              </w:rPr>
              <w:t>Veljko P. Vukoje</w:t>
            </w:r>
          </w:p>
        </w:tc>
      </w:tr>
      <w:tr w:rsidR="00DE4BB4" w:rsidRPr="00AC02AE" w:rsidTr="00F56900">
        <w:trPr>
          <w:trHeight w:val="112"/>
        </w:trPr>
        <w:tc>
          <w:tcPr>
            <w:tcW w:w="2092" w:type="dxa"/>
            <w:gridSpan w:val="2"/>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Assistant:</w:t>
            </w:r>
          </w:p>
        </w:tc>
        <w:tc>
          <w:tcPr>
            <w:tcW w:w="7530" w:type="dxa"/>
            <w:gridSpan w:val="9"/>
          </w:tcPr>
          <w:p w:rsidR="00DE4BB4" w:rsidRPr="00AC02AE" w:rsidRDefault="00DE4BB4" w:rsidP="00F56900">
            <w:pPr>
              <w:rPr>
                <w:rFonts w:ascii="Arial" w:eastAsia="Times New Roman" w:hAnsi="Arial" w:cs="Arial"/>
                <w:sz w:val="16"/>
                <w:szCs w:val="16"/>
                <w:lang w:val="sr-Cyrl-CS"/>
              </w:rPr>
            </w:pPr>
            <w:r w:rsidRPr="00AC02AE">
              <w:rPr>
                <w:rFonts w:ascii="Arial" w:eastAsia="Times New Roman" w:hAnsi="Arial" w:cs="Arial"/>
                <w:bCs/>
                <w:sz w:val="16"/>
                <w:szCs w:val="16"/>
                <w:lang w:val="sr-Cyrl-CS"/>
              </w:rPr>
              <w:t xml:space="preserve">Todor Đ. Marković, Dragan M. Milić, </w:t>
            </w:r>
            <w:proofErr w:type="spellStart"/>
            <w:r w:rsidRPr="00AC02AE">
              <w:rPr>
                <w:rFonts w:ascii="Arial" w:eastAsia="Times New Roman" w:hAnsi="Arial" w:cs="Arial"/>
                <w:bCs/>
                <w:sz w:val="16"/>
                <w:szCs w:val="16"/>
                <w:lang w:val="sr-Cyrl-CS"/>
              </w:rPr>
              <w:t>Bokić</w:t>
            </w:r>
            <w:proofErr w:type="spellEnd"/>
            <w:r w:rsidRPr="00AC02AE">
              <w:rPr>
                <w:rFonts w:ascii="Arial" w:eastAsia="Times New Roman" w:hAnsi="Arial" w:cs="Arial"/>
                <w:bCs/>
                <w:sz w:val="16"/>
                <w:szCs w:val="16"/>
                <w:lang w:val="sr-Cyrl-CS"/>
              </w:rPr>
              <w:t xml:space="preserve"> M. Jelena</w:t>
            </w:r>
          </w:p>
        </w:tc>
      </w:tr>
      <w:tr w:rsidR="00DE4BB4" w:rsidRPr="00AC02AE" w:rsidTr="00F56900">
        <w:tc>
          <w:tcPr>
            <w:tcW w:w="2092" w:type="dxa"/>
            <w:gridSpan w:val="2"/>
            <w:tcBorders>
              <w:bottom w:val="single" w:sz="4" w:space="0" w:color="auto"/>
            </w:tcBorders>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Course status</w:t>
            </w:r>
          </w:p>
        </w:tc>
        <w:tc>
          <w:tcPr>
            <w:tcW w:w="7530" w:type="dxa"/>
            <w:gridSpan w:val="9"/>
            <w:tcBorders>
              <w:bottom w:val="single" w:sz="4" w:space="0" w:color="auto"/>
            </w:tcBorders>
          </w:tcPr>
          <w:p w:rsidR="00DE4BB4" w:rsidRPr="00AC02AE" w:rsidRDefault="00DE4BB4" w:rsidP="00F56900">
            <w:pPr>
              <w:rPr>
                <w:rFonts w:ascii="Arial" w:hAnsi="Arial" w:cs="Arial"/>
                <w:sz w:val="16"/>
                <w:szCs w:val="16"/>
              </w:rPr>
            </w:pPr>
            <w:r w:rsidRPr="00AC02AE">
              <w:rPr>
                <w:rFonts w:ascii="Arial" w:hAnsi="Arial" w:cs="Arial"/>
                <w:sz w:val="16"/>
                <w:szCs w:val="16"/>
              </w:rPr>
              <w:t>Mandatory</w:t>
            </w:r>
          </w:p>
        </w:tc>
      </w:tr>
      <w:tr w:rsidR="00DE4BB4" w:rsidRPr="00AC02AE" w:rsidTr="00F56900">
        <w:trPr>
          <w:trHeight w:val="227"/>
        </w:trPr>
        <w:tc>
          <w:tcPr>
            <w:tcW w:w="9622" w:type="dxa"/>
            <w:gridSpan w:val="11"/>
            <w:tcBorders>
              <w:bottom w:val="single" w:sz="4" w:space="0" w:color="auto"/>
            </w:tcBorders>
            <w:shd w:val="clear" w:color="auto" w:fill="C2D69B" w:themeFill="accent3" w:themeFillTint="99"/>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Number of active teaching classes (weekly)</w:t>
            </w:r>
          </w:p>
        </w:tc>
      </w:tr>
      <w:tr w:rsidR="00DE4BB4" w:rsidRPr="00AC02AE" w:rsidTr="00F56900">
        <w:trPr>
          <w:trHeight w:val="227"/>
        </w:trPr>
        <w:tc>
          <w:tcPr>
            <w:tcW w:w="2092" w:type="dxa"/>
            <w:gridSpan w:val="2"/>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Lectures: 4</w:t>
            </w:r>
          </w:p>
        </w:tc>
        <w:tc>
          <w:tcPr>
            <w:tcW w:w="1985" w:type="dxa"/>
            <w:gridSpan w:val="3"/>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Tutorials: 4</w:t>
            </w:r>
          </w:p>
        </w:tc>
        <w:tc>
          <w:tcPr>
            <w:tcW w:w="1843" w:type="dxa"/>
            <w:gridSpan w:val="2"/>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Other teaching types:</w:t>
            </w:r>
          </w:p>
        </w:tc>
        <w:tc>
          <w:tcPr>
            <w:tcW w:w="1843" w:type="dxa"/>
            <w:gridSpan w:val="2"/>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Study research work:</w:t>
            </w:r>
          </w:p>
        </w:tc>
        <w:tc>
          <w:tcPr>
            <w:tcW w:w="1859" w:type="dxa"/>
            <w:gridSpan w:val="2"/>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Other classes:</w:t>
            </w:r>
          </w:p>
        </w:tc>
      </w:tr>
      <w:tr w:rsidR="00DE4BB4" w:rsidRPr="00AC02AE" w:rsidTr="00F56900">
        <w:tc>
          <w:tcPr>
            <w:tcW w:w="2092" w:type="dxa"/>
            <w:gridSpan w:val="2"/>
            <w:shd w:val="clear" w:color="auto" w:fill="C2D69B" w:themeFill="accent3" w:themeFillTint="99"/>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Precondition courses</w:t>
            </w:r>
          </w:p>
        </w:tc>
        <w:tc>
          <w:tcPr>
            <w:tcW w:w="7530" w:type="dxa"/>
            <w:gridSpan w:val="9"/>
            <w:shd w:val="clear" w:color="auto" w:fill="C2D69B" w:themeFill="accent3" w:themeFillTint="99"/>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None</w:t>
            </w:r>
          </w:p>
        </w:tc>
      </w:tr>
      <w:tr w:rsidR="00DE4BB4" w:rsidRPr="00AC02AE" w:rsidTr="00F56900">
        <w:tc>
          <w:tcPr>
            <w:tcW w:w="9622" w:type="dxa"/>
            <w:gridSpan w:val="11"/>
          </w:tcPr>
          <w:p w:rsidR="00DE4BB4" w:rsidRPr="00AC02AE" w:rsidRDefault="00DE4BB4" w:rsidP="00DE4BB4">
            <w:pPr>
              <w:pStyle w:val="ListParagraph"/>
              <w:numPr>
                <w:ilvl w:val="0"/>
                <w:numId w:val="1"/>
              </w:numPr>
              <w:ind w:left="284" w:hanging="284"/>
              <w:rPr>
                <w:rFonts w:ascii="Arial" w:hAnsi="Arial" w:cs="Arial"/>
                <w:sz w:val="16"/>
                <w:szCs w:val="16"/>
              </w:rPr>
            </w:pPr>
            <w:r w:rsidRPr="00AC02AE">
              <w:rPr>
                <w:rFonts w:ascii="Arial" w:hAnsi="Arial" w:cs="Arial"/>
                <w:sz w:val="16"/>
                <w:szCs w:val="16"/>
              </w:rPr>
              <w:t>Educational goal</w:t>
            </w:r>
          </w:p>
          <w:p w:rsidR="00DE4BB4" w:rsidRPr="00AC02AE" w:rsidRDefault="00DE4BB4" w:rsidP="00F56900">
            <w:pPr>
              <w:rPr>
                <w:rFonts w:ascii="Arial" w:hAnsi="Arial" w:cs="Arial"/>
                <w:sz w:val="16"/>
                <w:szCs w:val="16"/>
              </w:rPr>
            </w:pPr>
            <w:r w:rsidRPr="00AC02AE">
              <w:rPr>
                <w:rFonts w:ascii="Arial" w:hAnsi="Arial" w:cs="Arial"/>
                <w:sz w:val="16"/>
                <w:szCs w:val="16"/>
              </w:rPr>
              <w:t>The main objective of this course is for students to learn the methodology of double-entry bookkeeping and to introduce students to the accounting information system in agricultural enterprises and other business entities whose work is related to agriculture.</w:t>
            </w:r>
          </w:p>
        </w:tc>
      </w:tr>
      <w:tr w:rsidR="00DE4BB4" w:rsidRPr="00AC02AE" w:rsidTr="00F56900">
        <w:tc>
          <w:tcPr>
            <w:tcW w:w="9622" w:type="dxa"/>
            <w:gridSpan w:val="11"/>
          </w:tcPr>
          <w:p w:rsidR="00DE4BB4" w:rsidRPr="00AC02AE" w:rsidRDefault="00DE4BB4" w:rsidP="00DE4BB4">
            <w:pPr>
              <w:pStyle w:val="ListParagraph"/>
              <w:numPr>
                <w:ilvl w:val="0"/>
                <w:numId w:val="1"/>
              </w:numPr>
              <w:ind w:left="284" w:hanging="284"/>
              <w:rPr>
                <w:rFonts w:ascii="Arial" w:hAnsi="Arial" w:cs="Arial"/>
                <w:sz w:val="16"/>
                <w:szCs w:val="16"/>
              </w:rPr>
            </w:pPr>
            <w:r w:rsidRPr="00AC02AE">
              <w:rPr>
                <w:rFonts w:ascii="Arial" w:hAnsi="Arial" w:cs="Arial"/>
                <w:sz w:val="16"/>
                <w:szCs w:val="16"/>
              </w:rPr>
              <w:t>Educational outcomes</w:t>
            </w:r>
          </w:p>
          <w:p w:rsidR="00DE4BB4" w:rsidRPr="00AC02AE" w:rsidRDefault="00DE4BB4" w:rsidP="00F56900">
            <w:pPr>
              <w:rPr>
                <w:rFonts w:ascii="Arial" w:hAnsi="Arial" w:cs="Arial"/>
                <w:sz w:val="16"/>
                <w:szCs w:val="16"/>
              </w:rPr>
            </w:pPr>
            <w:r w:rsidRPr="00AC02AE">
              <w:rPr>
                <w:rFonts w:ascii="Arial" w:hAnsi="Arial" w:cs="Arial"/>
                <w:sz w:val="16"/>
                <w:szCs w:val="16"/>
              </w:rPr>
              <w:t xml:space="preserve">During this course, students develop the ability to organize and maintain accounting records in concrete conditions of agricultural enterprises, and prepare and interpret various accounting reports. </w:t>
            </w:r>
          </w:p>
        </w:tc>
      </w:tr>
      <w:tr w:rsidR="00DE4BB4" w:rsidRPr="00AC02AE" w:rsidTr="00F56900">
        <w:tc>
          <w:tcPr>
            <w:tcW w:w="9622" w:type="dxa"/>
            <w:gridSpan w:val="11"/>
          </w:tcPr>
          <w:p w:rsidR="00DE4BB4" w:rsidRPr="00AC02AE" w:rsidRDefault="00DE4BB4" w:rsidP="00DE4BB4">
            <w:pPr>
              <w:pStyle w:val="ListParagraph"/>
              <w:numPr>
                <w:ilvl w:val="0"/>
                <w:numId w:val="1"/>
              </w:numPr>
              <w:ind w:left="284" w:hanging="284"/>
              <w:rPr>
                <w:rFonts w:ascii="Arial" w:hAnsi="Arial" w:cs="Arial"/>
                <w:sz w:val="16"/>
                <w:szCs w:val="16"/>
              </w:rPr>
            </w:pPr>
            <w:r w:rsidRPr="00AC02AE">
              <w:rPr>
                <w:rFonts w:ascii="Arial" w:hAnsi="Arial" w:cs="Arial"/>
                <w:sz w:val="16"/>
                <w:szCs w:val="16"/>
              </w:rPr>
              <w:t>Course content</w:t>
            </w:r>
          </w:p>
          <w:p w:rsidR="00DE4BB4" w:rsidRPr="00AC02AE" w:rsidRDefault="00DE4BB4" w:rsidP="00F56900">
            <w:pPr>
              <w:rPr>
                <w:rFonts w:ascii="Arial" w:hAnsi="Arial" w:cs="Arial"/>
                <w:i/>
                <w:sz w:val="16"/>
                <w:szCs w:val="16"/>
              </w:rPr>
            </w:pPr>
            <w:r w:rsidRPr="00AC02AE">
              <w:rPr>
                <w:rFonts w:ascii="Arial" w:hAnsi="Arial" w:cs="Arial"/>
                <w:i/>
                <w:sz w:val="16"/>
                <w:szCs w:val="16"/>
              </w:rPr>
              <w:t>Theoretical Instruction</w:t>
            </w:r>
          </w:p>
          <w:p w:rsidR="00DE4BB4" w:rsidRPr="00AC02AE" w:rsidRDefault="00DE4BB4" w:rsidP="00F56900">
            <w:pPr>
              <w:rPr>
                <w:rFonts w:ascii="Arial" w:hAnsi="Arial" w:cs="Arial"/>
                <w:sz w:val="16"/>
                <w:szCs w:val="16"/>
              </w:rPr>
            </w:pPr>
            <w:r w:rsidRPr="00AC02AE">
              <w:rPr>
                <w:rFonts w:ascii="Arial" w:hAnsi="Arial" w:cs="Arial"/>
                <w:sz w:val="16"/>
                <w:szCs w:val="16"/>
              </w:rPr>
              <w:t xml:space="preserve">The concept, importance, the subject matter and tasks of accounting. Accounting principles, accounting standards and policies. The system and mechanism of double-entry bookkeeping. Account as an instrument of treating economic changes. The principles of documenting economic changes. Accounting of agricultural enterprises – specific features. Chart of the accounts as a means enterprise organization. Accounting treatment of: fixed assets, cash assets, receivables and liabilities, capital, material, small tools. Elaboration of analytical chart of accounts for agricultural enterprises.  Accounting treatment of costs in financial bookkeeping and operational accounting.  Accounting treatment of finished products in plant and livestock production.  Accounting treatment of other revenues and expenses. Posting of financial results and their distribution. </w:t>
            </w:r>
            <w:proofErr w:type="spellStart"/>
            <w:r w:rsidRPr="00AC02AE">
              <w:rPr>
                <w:rFonts w:ascii="Arial" w:hAnsi="Arial" w:cs="Arial"/>
                <w:sz w:val="16"/>
                <w:szCs w:val="16"/>
              </w:rPr>
              <w:t>Preclosing</w:t>
            </w:r>
            <w:proofErr w:type="spellEnd"/>
            <w:r w:rsidRPr="00AC02AE">
              <w:rPr>
                <w:rFonts w:ascii="Arial" w:hAnsi="Arial" w:cs="Arial"/>
                <w:sz w:val="16"/>
                <w:szCs w:val="16"/>
              </w:rPr>
              <w:t xml:space="preserve"> entries, closing list, balance sheet, income statements, </w:t>
            </w:r>
            <w:proofErr w:type="gramStart"/>
            <w:r w:rsidRPr="00AC02AE">
              <w:rPr>
                <w:rFonts w:ascii="Arial" w:hAnsi="Arial" w:cs="Arial"/>
                <w:sz w:val="16"/>
                <w:szCs w:val="16"/>
              </w:rPr>
              <w:t>cash</w:t>
            </w:r>
            <w:proofErr w:type="gramEnd"/>
            <w:r w:rsidRPr="00AC02AE">
              <w:rPr>
                <w:rFonts w:ascii="Arial" w:hAnsi="Arial" w:cs="Arial"/>
                <w:sz w:val="16"/>
                <w:szCs w:val="16"/>
              </w:rPr>
              <w:t xml:space="preserve"> flows and closing entries.</w:t>
            </w:r>
          </w:p>
          <w:p w:rsidR="00DE4BB4" w:rsidRPr="00AC02AE" w:rsidRDefault="00DE4BB4" w:rsidP="00F56900">
            <w:pPr>
              <w:rPr>
                <w:rFonts w:ascii="Arial" w:hAnsi="Arial" w:cs="Arial"/>
                <w:sz w:val="16"/>
                <w:szCs w:val="16"/>
              </w:rPr>
            </w:pPr>
          </w:p>
          <w:p w:rsidR="00DE4BB4" w:rsidRPr="00AC02AE" w:rsidRDefault="00DE4BB4" w:rsidP="00F56900">
            <w:pPr>
              <w:rPr>
                <w:rFonts w:ascii="Arial" w:hAnsi="Arial" w:cs="Arial"/>
                <w:i/>
                <w:sz w:val="16"/>
                <w:szCs w:val="16"/>
              </w:rPr>
            </w:pPr>
            <w:r w:rsidRPr="00AC02AE">
              <w:rPr>
                <w:rFonts w:ascii="Arial" w:hAnsi="Arial" w:cs="Arial"/>
                <w:i/>
                <w:sz w:val="16"/>
                <w:szCs w:val="16"/>
              </w:rPr>
              <w:t>Practical Instruction</w:t>
            </w:r>
          </w:p>
          <w:p w:rsidR="00DE4BB4" w:rsidRPr="00AC02AE" w:rsidRDefault="00DE4BB4" w:rsidP="00F56900">
            <w:pPr>
              <w:rPr>
                <w:rFonts w:ascii="Arial" w:hAnsi="Arial" w:cs="Arial"/>
                <w:sz w:val="16"/>
                <w:szCs w:val="16"/>
              </w:rPr>
            </w:pPr>
            <w:r w:rsidRPr="00AC02AE">
              <w:rPr>
                <w:rFonts w:ascii="Arial" w:hAnsi="Arial" w:cs="Arial"/>
                <w:sz w:val="16"/>
                <w:szCs w:val="16"/>
              </w:rPr>
              <w:t>Tasks, examples and illustrations of: classification of assets and asset resources. Preparing the balance based on different principles. The influence of basic balance changes on balance. Preparation of the trial balance. Accounting and bookkeeping: fixed assets, turnover and yields in the basic stock, material and small inventory, short-term receivables and placement, liabilities and capital. Posting of expenses: in financial bookkeeping and operational accounting. Posting of the completed production in agriculture, product sales, revenues and expenses and results. Preparation of the complete example of accounting and posting of expenses and results for agricultural enterprises. Preparation of the closing list, balance sheet and income statement.</w:t>
            </w:r>
          </w:p>
        </w:tc>
      </w:tr>
      <w:tr w:rsidR="00DE4BB4" w:rsidRPr="00AC02AE" w:rsidTr="00F56900">
        <w:tc>
          <w:tcPr>
            <w:tcW w:w="9622" w:type="dxa"/>
            <w:gridSpan w:val="11"/>
            <w:tcBorders>
              <w:bottom w:val="single" w:sz="4" w:space="0" w:color="auto"/>
            </w:tcBorders>
          </w:tcPr>
          <w:p w:rsidR="00DE4BB4" w:rsidRPr="00AC02AE" w:rsidRDefault="00DE4BB4" w:rsidP="00DE4BB4">
            <w:pPr>
              <w:pStyle w:val="ListParagraph"/>
              <w:numPr>
                <w:ilvl w:val="0"/>
                <w:numId w:val="1"/>
              </w:numPr>
              <w:ind w:left="284" w:hanging="284"/>
              <w:rPr>
                <w:rFonts w:ascii="Arial" w:hAnsi="Arial" w:cs="Arial"/>
                <w:sz w:val="16"/>
                <w:szCs w:val="16"/>
              </w:rPr>
            </w:pPr>
            <w:r w:rsidRPr="00AC02AE">
              <w:rPr>
                <w:rFonts w:ascii="Arial" w:hAnsi="Arial" w:cs="Arial"/>
                <w:sz w:val="16"/>
                <w:szCs w:val="16"/>
              </w:rPr>
              <w:t>Teaching methods</w:t>
            </w:r>
          </w:p>
          <w:p w:rsidR="00DE4BB4" w:rsidRPr="00AC02AE" w:rsidRDefault="00DE4BB4" w:rsidP="00F56900">
            <w:pPr>
              <w:rPr>
                <w:rFonts w:ascii="Arial" w:hAnsi="Arial" w:cs="Arial"/>
                <w:sz w:val="16"/>
                <w:szCs w:val="16"/>
              </w:rPr>
            </w:pPr>
            <w:r w:rsidRPr="00AC02AE">
              <w:rPr>
                <w:rFonts w:ascii="Arial" w:hAnsi="Arial" w:cs="Arial"/>
                <w:sz w:val="16"/>
                <w:szCs w:val="16"/>
              </w:rPr>
              <w:t>Lectures are performed using power point presentations, with active participation of students, discussions, analysis of case studies. Practical instruction includes calculation and posting of specific examples, demonstration exercises, learning how to work on computer software, etc. Written and oral examinations.</w:t>
            </w:r>
          </w:p>
        </w:tc>
      </w:tr>
      <w:tr w:rsidR="00DE4BB4" w:rsidRPr="00AC02AE" w:rsidTr="00F56900">
        <w:tc>
          <w:tcPr>
            <w:tcW w:w="9622" w:type="dxa"/>
            <w:gridSpan w:val="11"/>
            <w:tcBorders>
              <w:bottom w:val="single" w:sz="4" w:space="0" w:color="auto"/>
            </w:tcBorders>
            <w:shd w:val="clear" w:color="auto" w:fill="C2D69B" w:themeFill="accent3" w:themeFillTint="99"/>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Knowledge evaluation (maximum 100 points)</w:t>
            </w:r>
          </w:p>
        </w:tc>
      </w:tr>
      <w:tr w:rsidR="00DE4BB4" w:rsidRPr="00AC02AE" w:rsidTr="00F56900">
        <w:tc>
          <w:tcPr>
            <w:tcW w:w="2376" w:type="dxa"/>
            <w:gridSpan w:val="3"/>
            <w:shd w:val="clear" w:color="auto" w:fill="auto"/>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Pre-examination obligations</w:t>
            </w:r>
          </w:p>
        </w:tc>
        <w:tc>
          <w:tcPr>
            <w:tcW w:w="1134" w:type="dxa"/>
            <w:shd w:val="clear" w:color="auto" w:fill="auto"/>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Mandatory</w:t>
            </w:r>
          </w:p>
        </w:tc>
        <w:tc>
          <w:tcPr>
            <w:tcW w:w="1301"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Points</w:t>
            </w:r>
          </w:p>
        </w:tc>
        <w:tc>
          <w:tcPr>
            <w:tcW w:w="2527"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 xml:space="preserve">Final exam </w:t>
            </w:r>
          </w:p>
        </w:tc>
        <w:tc>
          <w:tcPr>
            <w:tcW w:w="1134"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Mandatory</w:t>
            </w:r>
          </w:p>
        </w:tc>
        <w:tc>
          <w:tcPr>
            <w:tcW w:w="1150" w:type="dxa"/>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Points</w:t>
            </w:r>
          </w:p>
        </w:tc>
      </w:tr>
      <w:tr w:rsidR="00DE4BB4" w:rsidRPr="00AC02AE" w:rsidTr="00F56900">
        <w:tc>
          <w:tcPr>
            <w:tcW w:w="2376" w:type="dxa"/>
            <w:gridSpan w:val="3"/>
            <w:shd w:val="clear" w:color="auto" w:fill="auto"/>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Lecture attendance</w:t>
            </w:r>
          </w:p>
        </w:tc>
        <w:tc>
          <w:tcPr>
            <w:tcW w:w="1134" w:type="dxa"/>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Yes/No</w:t>
            </w:r>
          </w:p>
        </w:tc>
        <w:tc>
          <w:tcPr>
            <w:tcW w:w="1301"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10</w:t>
            </w:r>
          </w:p>
        </w:tc>
        <w:tc>
          <w:tcPr>
            <w:tcW w:w="2527" w:type="dxa"/>
            <w:gridSpan w:val="2"/>
            <w:shd w:val="clear" w:color="auto" w:fill="auto"/>
            <w:vAlign w:val="center"/>
          </w:tcPr>
          <w:p w:rsidR="00DE4BB4" w:rsidRPr="00AC02AE" w:rsidRDefault="00DE4BB4" w:rsidP="00F56900">
            <w:pPr>
              <w:jc w:val="center"/>
              <w:rPr>
                <w:rFonts w:ascii="Arial" w:hAnsi="Arial" w:cs="Arial"/>
                <w:i/>
                <w:sz w:val="16"/>
                <w:szCs w:val="16"/>
              </w:rPr>
            </w:pPr>
            <w:r w:rsidRPr="00AC02AE">
              <w:rPr>
                <w:rFonts w:ascii="Arial" w:hAnsi="Arial" w:cs="Arial"/>
                <w:i/>
                <w:sz w:val="16"/>
                <w:szCs w:val="16"/>
              </w:rPr>
              <w:t>Oral part exam/</w:t>
            </w:r>
          </w:p>
        </w:tc>
        <w:tc>
          <w:tcPr>
            <w:tcW w:w="1134"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Yes</w:t>
            </w:r>
          </w:p>
        </w:tc>
        <w:tc>
          <w:tcPr>
            <w:tcW w:w="1150" w:type="dxa"/>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30</w:t>
            </w:r>
          </w:p>
        </w:tc>
      </w:tr>
      <w:tr w:rsidR="00DE4BB4" w:rsidRPr="00AC02AE" w:rsidTr="00F56900">
        <w:tc>
          <w:tcPr>
            <w:tcW w:w="2376" w:type="dxa"/>
            <w:gridSpan w:val="3"/>
            <w:shd w:val="clear" w:color="auto" w:fill="auto"/>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Practical work</w:t>
            </w:r>
          </w:p>
        </w:tc>
        <w:tc>
          <w:tcPr>
            <w:tcW w:w="1134" w:type="dxa"/>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Yes/No</w:t>
            </w:r>
          </w:p>
        </w:tc>
        <w:tc>
          <w:tcPr>
            <w:tcW w:w="1301"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10</w:t>
            </w:r>
          </w:p>
        </w:tc>
        <w:tc>
          <w:tcPr>
            <w:tcW w:w="4811" w:type="dxa"/>
            <w:gridSpan w:val="5"/>
            <w:vMerge w:val="restart"/>
            <w:shd w:val="clear" w:color="auto" w:fill="auto"/>
            <w:vAlign w:val="center"/>
          </w:tcPr>
          <w:p w:rsidR="00DE4BB4" w:rsidRPr="00AC02AE" w:rsidRDefault="00DE4BB4" w:rsidP="00F56900">
            <w:pPr>
              <w:jc w:val="center"/>
              <w:rPr>
                <w:rFonts w:ascii="Arial" w:hAnsi="Arial" w:cs="Arial"/>
                <w:sz w:val="16"/>
                <w:szCs w:val="16"/>
              </w:rPr>
            </w:pPr>
          </w:p>
        </w:tc>
      </w:tr>
      <w:tr w:rsidR="00DE4BB4" w:rsidRPr="00AC02AE" w:rsidTr="00F56900">
        <w:tc>
          <w:tcPr>
            <w:tcW w:w="2376" w:type="dxa"/>
            <w:gridSpan w:val="3"/>
            <w:shd w:val="clear" w:color="auto" w:fill="auto"/>
            <w:vAlign w:val="center"/>
          </w:tcPr>
          <w:p w:rsidR="00DE4BB4" w:rsidRPr="00AC02AE" w:rsidRDefault="00DE4BB4" w:rsidP="00F56900">
            <w:pPr>
              <w:rPr>
                <w:rFonts w:ascii="Arial" w:hAnsi="Arial" w:cs="Arial"/>
                <w:sz w:val="16"/>
                <w:szCs w:val="16"/>
              </w:rPr>
            </w:pPr>
            <w:r w:rsidRPr="00AC02AE">
              <w:rPr>
                <w:rFonts w:ascii="Arial" w:hAnsi="Arial" w:cs="Arial"/>
                <w:sz w:val="16"/>
                <w:szCs w:val="16"/>
              </w:rPr>
              <w:t xml:space="preserve">Test </w:t>
            </w:r>
          </w:p>
        </w:tc>
        <w:tc>
          <w:tcPr>
            <w:tcW w:w="1134" w:type="dxa"/>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Yes/No</w:t>
            </w:r>
          </w:p>
        </w:tc>
        <w:tc>
          <w:tcPr>
            <w:tcW w:w="1301" w:type="dxa"/>
            <w:gridSpan w:val="2"/>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15+15</w:t>
            </w:r>
          </w:p>
        </w:tc>
        <w:tc>
          <w:tcPr>
            <w:tcW w:w="4811" w:type="dxa"/>
            <w:gridSpan w:val="5"/>
            <w:vMerge/>
            <w:shd w:val="clear" w:color="auto" w:fill="auto"/>
            <w:vAlign w:val="center"/>
          </w:tcPr>
          <w:p w:rsidR="00DE4BB4" w:rsidRPr="00AC02AE" w:rsidRDefault="00DE4BB4" w:rsidP="00F56900">
            <w:pPr>
              <w:jc w:val="center"/>
              <w:rPr>
                <w:rFonts w:ascii="Arial" w:hAnsi="Arial" w:cs="Arial"/>
                <w:sz w:val="16"/>
                <w:szCs w:val="16"/>
              </w:rPr>
            </w:pPr>
          </w:p>
        </w:tc>
      </w:tr>
      <w:tr w:rsidR="00DE4BB4" w:rsidRPr="00AC02AE" w:rsidTr="00F56900">
        <w:tc>
          <w:tcPr>
            <w:tcW w:w="2376" w:type="dxa"/>
            <w:gridSpan w:val="3"/>
            <w:tcBorders>
              <w:bottom w:val="single" w:sz="4" w:space="0" w:color="auto"/>
            </w:tcBorders>
            <w:shd w:val="clear" w:color="auto" w:fill="auto"/>
            <w:vAlign w:val="center"/>
          </w:tcPr>
          <w:p w:rsidR="00DE4BB4" w:rsidRPr="00AC02AE" w:rsidRDefault="00DE4BB4" w:rsidP="00F56900">
            <w:pPr>
              <w:rPr>
                <w:rFonts w:ascii="Arial" w:hAnsi="Arial" w:cs="Arial"/>
                <w:sz w:val="16"/>
                <w:szCs w:val="16"/>
              </w:rPr>
            </w:pPr>
          </w:p>
        </w:tc>
        <w:tc>
          <w:tcPr>
            <w:tcW w:w="1134" w:type="dxa"/>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Yes/No</w:t>
            </w:r>
          </w:p>
        </w:tc>
        <w:tc>
          <w:tcPr>
            <w:tcW w:w="1301" w:type="dxa"/>
            <w:gridSpan w:val="2"/>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p>
        </w:tc>
        <w:tc>
          <w:tcPr>
            <w:tcW w:w="4811" w:type="dxa"/>
            <w:gridSpan w:val="5"/>
            <w:vMerge/>
            <w:tcBorders>
              <w:bottom w:val="single" w:sz="4" w:space="0" w:color="auto"/>
            </w:tcBorders>
            <w:shd w:val="clear" w:color="auto" w:fill="auto"/>
            <w:vAlign w:val="center"/>
          </w:tcPr>
          <w:p w:rsidR="00DE4BB4" w:rsidRPr="00AC02AE" w:rsidRDefault="00DE4BB4" w:rsidP="00F56900">
            <w:pPr>
              <w:jc w:val="center"/>
              <w:rPr>
                <w:rFonts w:ascii="Arial" w:hAnsi="Arial" w:cs="Arial"/>
                <w:sz w:val="16"/>
                <w:szCs w:val="16"/>
              </w:rPr>
            </w:pPr>
          </w:p>
        </w:tc>
      </w:tr>
      <w:tr w:rsidR="00DE4BB4" w:rsidRPr="00AC02AE" w:rsidTr="00F56900">
        <w:tc>
          <w:tcPr>
            <w:tcW w:w="9622" w:type="dxa"/>
            <w:gridSpan w:val="11"/>
            <w:shd w:val="clear" w:color="auto" w:fill="C2D69B" w:themeFill="accent3" w:themeFillTint="99"/>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 xml:space="preserve">Literature </w:t>
            </w:r>
          </w:p>
        </w:tc>
      </w:tr>
      <w:tr w:rsidR="00DE4BB4" w:rsidRPr="00AC02AE" w:rsidTr="00F56900">
        <w:tc>
          <w:tcPr>
            <w:tcW w:w="675" w:type="dxa"/>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Ord.</w:t>
            </w:r>
          </w:p>
        </w:tc>
        <w:tc>
          <w:tcPr>
            <w:tcW w:w="1701" w:type="dxa"/>
            <w:gridSpan w:val="2"/>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Author</w:t>
            </w:r>
          </w:p>
        </w:tc>
        <w:tc>
          <w:tcPr>
            <w:tcW w:w="2435" w:type="dxa"/>
            <w:gridSpan w:val="3"/>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Title</w:t>
            </w:r>
          </w:p>
        </w:tc>
        <w:tc>
          <w:tcPr>
            <w:tcW w:w="3661" w:type="dxa"/>
            <w:gridSpan w:val="4"/>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Publisher</w:t>
            </w:r>
          </w:p>
        </w:tc>
        <w:tc>
          <w:tcPr>
            <w:tcW w:w="1150" w:type="dxa"/>
            <w:vAlign w:val="center"/>
          </w:tcPr>
          <w:p w:rsidR="00DE4BB4" w:rsidRPr="00AC02AE" w:rsidRDefault="00DE4BB4" w:rsidP="00F56900">
            <w:pPr>
              <w:jc w:val="center"/>
              <w:rPr>
                <w:rFonts w:ascii="Arial" w:hAnsi="Arial" w:cs="Arial"/>
                <w:sz w:val="16"/>
                <w:szCs w:val="16"/>
              </w:rPr>
            </w:pPr>
            <w:r w:rsidRPr="00AC02AE">
              <w:rPr>
                <w:rFonts w:ascii="Arial" w:hAnsi="Arial" w:cs="Arial"/>
                <w:sz w:val="16"/>
                <w:szCs w:val="16"/>
              </w:rPr>
              <w:t>Year</w:t>
            </w:r>
          </w:p>
        </w:tc>
      </w:tr>
      <w:tr w:rsidR="00DE4BB4" w:rsidRPr="00AC02AE" w:rsidTr="00F56900">
        <w:tc>
          <w:tcPr>
            <w:tcW w:w="675" w:type="dxa"/>
            <w:vAlign w:val="center"/>
          </w:tcPr>
          <w:p w:rsidR="00DE4BB4" w:rsidRPr="00AC02AE" w:rsidRDefault="00DE4BB4" w:rsidP="00DE4BB4">
            <w:pPr>
              <w:pStyle w:val="ListParagraph"/>
              <w:numPr>
                <w:ilvl w:val="0"/>
                <w:numId w:val="7"/>
              </w:numPr>
              <w:jc w:val="center"/>
              <w:rPr>
                <w:rFonts w:ascii="Arial" w:hAnsi="Arial" w:cs="Arial"/>
                <w:sz w:val="16"/>
                <w:szCs w:val="16"/>
              </w:rPr>
            </w:pPr>
          </w:p>
        </w:tc>
        <w:tc>
          <w:tcPr>
            <w:tcW w:w="1701" w:type="dxa"/>
            <w:gridSpan w:val="2"/>
            <w:vAlign w:val="center"/>
          </w:tcPr>
          <w:p w:rsidR="00DE4BB4" w:rsidRPr="00AC02AE" w:rsidRDefault="00DE4BB4" w:rsidP="00F56900">
            <w:pPr>
              <w:jc w:val="center"/>
              <w:rPr>
                <w:rFonts w:ascii="Arial" w:hAnsi="Arial" w:cs="Arial"/>
                <w:sz w:val="16"/>
                <w:szCs w:val="16"/>
              </w:rPr>
            </w:pPr>
            <w:r w:rsidRPr="00AC02AE">
              <w:rPr>
                <w:rFonts w:ascii="Arial" w:eastAsia="Times New Roman" w:hAnsi="Arial" w:cs="Arial"/>
                <w:sz w:val="16"/>
                <w:szCs w:val="16"/>
                <w:lang w:val="sr-Cyrl-CS"/>
              </w:rPr>
              <w:t>Dmitrović-</w:t>
            </w:r>
            <w:proofErr w:type="spellStart"/>
            <w:r w:rsidRPr="00AC02AE">
              <w:rPr>
                <w:rFonts w:ascii="Arial" w:eastAsia="Times New Roman" w:hAnsi="Arial" w:cs="Arial"/>
                <w:sz w:val="16"/>
                <w:szCs w:val="16"/>
                <w:lang w:val="sr-Cyrl-CS"/>
              </w:rPr>
              <w:t>Šaponja</w:t>
            </w:r>
            <w:proofErr w:type="spellEnd"/>
            <w:r w:rsidRPr="00AC02AE">
              <w:rPr>
                <w:rFonts w:ascii="Arial" w:eastAsia="Times New Roman" w:hAnsi="Arial" w:cs="Arial"/>
                <w:sz w:val="16"/>
                <w:szCs w:val="16"/>
                <w:lang w:val="sr-Cyrl-CS"/>
              </w:rPr>
              <w:t xml:space="preserve"> Ljiljana, </w:t>
            </w:r>
            <w:proofErr w:type="spellStart"/>
            <w:r w:rsidRPr="00AC02AE">
              <w:rPr>
                <w:rFonts w:ascii="Arial" w:eastAsia="Times New Roman" w:hAnsi="Arial" w:cs="Arial"/>
                <w:sz w:val="16"/>
                <w:szCs w:val="16"/>
                <w:lang w:val="sr-Cyrl-CS"/>
              </w:rPr>
              <w:t>Petkovič</w:t>
            </w:r>
            <w:proofErr w:type="spellEnd"/>
            <w:r w:rsidRPr="00AC02AE">
              <w:rPr>
                <w:rFonts w:ascii="Arial" w:eastAsia="Times New Roman" w:hAnsi="Arial" w:cs="Arial"/>
                <w:sz w:val="16"/>
                <w:szCs w:val="16"/>
                <w:lang w:val="sr-Cyrl-CS"/>
              </w:rPr>
              <w:t xml:space="preserve">, </w:t>
            </w:r>
            <w:proofErr w:type="spellStart"/>
            <w:r w:rsidRPr="00AC02AE">
              <w:rPr>
                <w:rFonts w:ascii="Arial" w:eastAsia="Times New Roman" w:hAnsi="Arial" w:cs="Arial"/>
                <w:sz w:val="16"/>
                <w:szCs w:val="16"/>
                <w:lang w:val="sr-Cyrl-CS"/>
              </w:rPr>
              <w:t>Đerđi</w:t>
            </w:r>
            <w:proofErr w:type="spellEnd"/>
            <w:r w:rsidRPr="00AC02AE">
              <w:rPr>
                <w:rFonts w:ascii="Arial" w:eastAsia="Times New Roman" w:hAnsi="Arial" w:cs="Arial"/>
                <w:sz w:val="16"/>
                <w:szCs w:val="16"/>
                <w:lang w:val="sr-Cyrl-CS"/>
              </w:rPr>
              <w:t>, Jakšić, D</w:t>
            </w:r>
          </w:p>
        </w:tc>
        <w:tc>
          <w:tcPr>
            <w:tcW w:w="2435" w:type="dxa"/>
            <w:gridSpan w:val="3"/>
            <w:vAlign w:val="center"/>
          </w:tcPr>
          <w:p w:rsidR="00DE4BB4" w:rsidRPr="00AC02AE" w:rsidRDefault="00DE4BB4" w:rsidP="00F56900">
            <w:pPr>
              <w:jc w:val="center"/>
              <w:rPr>
                <w:rFonts w:ascii="Arial" w:hAnsi="Arial" w:cs="Arial"/>
                <w:sz w:val="16"/>
                <w:szCs w:val="16"/>
              </w:rPr>
            </w:pPr>
            <w:r w:rsidRPr="00AC02AE">
              <w:rPr>
                <w:rFonts w:ascii="Arial" w:eastAsia="Times New Roman" w:hAnsi="Arial" w:cs="Arial"/>
                <w:sz w:val="16"/>
                <w:szCs w:val="16"/>
                <w:lang w:val="sr-Cyrl-CS"/>
              </w:rPr>
              <w:t>Računovodstvo</w:t>
            </w:r>
          </w:p>
        </w:tc>
        <w:tc>
          <w:tcPr>
            <w:tcW w:w="3661" w:type="dxa"/>
            <w:gridSpan w:val="4"/>
            <w:vAlign w:val="center"/>
          </w:tcPr>
          <w:p w:rsidR="00DE4BB4" w:rsidRPr="00AC02AE" w:rsidRDefault="00DE4BB4" w:rsidP="00F56900">
            <w:pPr>
              <w:jc w:val="center"/>
              <w:rPr>
                <w:rFonts w:ascii="Arial" w:hAnsi="Arial" w:cs="Arial"/>
                <w:sz w:val="16"/>
                <w:szCs w:val="16"/>
              </w:rPr>
            </w:pPr>
            <w:r w:rsidRPr="00AC02AE">
              <w:rPr>
                <w:rFonts w:ascii="Arial" w:eastAsia="Times New Roman" w:hAnsi="Arial" w:cs="Arial"/>
                <w:sz w:val="16"/>
                <w:szCs w:val="16"/>
                <w:lang w:val="sr-Cyrl-CS"/>
              </w:rPr>
              <w:t>Ekonomski fakultet, Subotica</w:t>
            </w:r>
          </w:p>
        </w:tc>
        <w:tc>
          <w:tcPr>
            <w:tcW w:w="1150" w:type="dxa"/>
            <w:vAlign w:val="center"/>
          </w:tcPr>
          <w:p w:rsidR="00DE4BB4" w:rsidRPr="00AC02AE" w:rsidRDefault="00DE4BB4" w:rsidP="00F56900">
            <w:pPr>
              <w:jc w:val="center"/>
              <w:rPr>
                <w:rFonts w:ascii="Arial" w:hAnsi="Arial" w:cs="Arial"/>
                <w:sz w:val="16"/>
                <w:szCs w:val="16"/>
              </w:rPr>
            </w:pPr>
            <w:r w:rsidRPr="00AC02AE">
              <w:rPr>
                <w:rFonts w:ascii="Arial" w:eastAsia="Times New Roman" w:hAnsi="Arial" w:cs="Arial"/>
                <w:sz w:val="16"/>
                <w:szCs w:val="16"/>
                <w:lang w:val="sr-Cyrl-CS"/>
              </w:rPr>
              <w:t>2010</w:t>
            </w:r>
          </w:p>
        </w:tc>
      </w:tr>
      <w:tr w:rsidR="00DE4BB4" w:rsidRPr="00AC02AE" w:rsidTr="00F56900">
        <w:tc>
          <w:tcPr>
            <w:tcW w:w="675" w:type="dxa"/>
            <w:vAlign w:val="center"/>
          </w:tcPr>
          <w:p w:rsidR="00DE4BB4" w:rsidRPr="00AC02AE" w:rsidRDefault="00DE4BB4" w:rsidP="00DE4BB4">
            <w:pPr>
              <w:pStyle w:val="ListParagraph"/>
              <w:numPr>
                <w:ilvl w:val="0"/>
                <w:numId w:val="7"/>
              </w:numPr>
              <w:jc w:val="center"/>
              <w:rPr>
                <w:rFonts w:ascii="Arial" w:hAnsi="Arial" w:cs="Arial"/>
                <w:sz w:val="16"/>
                <w:szCs w:val="16"/>
              </w:rPr>
            </w:pPr>
          </w:p>
        </w:tc>
        <w:tc>
          <w:tcPr>
            <w:tcW w:w="1701" w:type="dxa"/>
            <w:gridSpan w:val="2"/>
            <w:vAlign w:val="center"/>
          </w:tcPr>
          <w:p w:rsidR="00DE4BB4" w:rsidRPr="005A33BB" w:rsidRDefault="00DE4BB4" w:rsidP="00F56900">
            <w:pPr>
              <w:jc w:val="center"/>
              <w:rPr>
                <w:rFonts w:ascii="Arial" w:hAnsi="Arial" w:cs="Arial"/>
                <w:sz w:val="16"/>
                <w:szCs w:val="16"/>
                <w:lang w:val="de-DE"/>
              </w:rPr>
            </w:pPr>
            <w:proofErr w:type="spellStart"/>
            <w:r w:rsidRPr="00AC02AE">
              <w:rPr>
                <w:rFonts w:ascii="Arial" w:eastAsia="Times New Roman" w:hAnsi="Arial" w:cs="Arial"/>
                <w:sz w:val="16"/>
                <w:szCs w:val="16"/>
                <w:lang w:val="sr-Cyrl-CS"/>
              </w:rPr>
              <w:t>Kisić</w:t>
            </w:r>
            <w:proofErr w:type="spellEnd"/>
            <w:r w:rsidRPr="00AC02AE">
              <w:rPr>
                <w:rFonts w:ascii="Arial" w:eastAsia="Times New Roman" w:hAnsi="Arial" w:cs="Arial"/>
                <w:sz w:val="16"/>
                <w:szCs w:val="16"/>
                <w:lang w:val="sr-Cyrl-CS"/>
              </w:rPr>
              <w:t xml:space="preserve">, D., </w:t>
            </w:r>
            <w:proofErr w:type="spellStart"/>
            <w:r w:rsidRPr="00AC02AE">
              <w:rPr>
                <w:rFonts w:ascii="Arial" w:eastAsia="Times New Roman" w:hAnsi="Arial" w:cs="Arial"/>
                <w:sz w:val="16"/>
                <w:szCs w:val="16"/>
                <w:lang w:val="sr-Cyrl-CS"/>
              </w:rPr>
              <w:t>Rekecki</w:t>
            </w:r>
            <w:proofErr w:type="spellEnd"/>
            <w:r w:rsidRPr="00AC02AE">
              <w:rPr>
                <w:rFonts w:ascii="Arial" w:eastAsia="Times New Roman" w:hAnsi="Arial" w:cs="Arial"/>
                <w:sz w:val="16"/>
                <w:szCs w:val="16"/>
                <w:lang w:val="sr-Cyrl-CS"/>
              </w:rPr>
              <w:t>, J., Obrenović, D</w:t>
            </w:r>
          </w:p>
        </w:tc>
        <w:tc>
          <w:tcPr>
            <w:tcW w:w="2435" w:type="dxa"/>
            <w:gridSpan w:val="3"/>
            <w:vAlign w:val="center"/>
          </w:tcPr>
          <w:p w:rsidR="00DE4BB4" w:rsidRPr="005A33BB" w:rsidRDefault="00DE4BB4" w:rsidP="00F56900">
            <w:pPr>
              <w:jc w:val="center"/>
              <w:rPr>
                <w:rFonts w:ascii="Arial" w:hAnsi="Arial" w:cs="Arial"/>
                <w:sz w:val="16"/>
                <w:szCs w:val="16"/>
                <w:lang w:val="de-DE"/>
              </w:rPr>
            </w:pPr>
            <w:r w:rsidRPr="00AC02AE">
              <w:rPr>
                <w:rFonts w:ascii="Arial" w:eastAsia="Times New Roman" w:hAnsi="Arial" w:cs="Arial"/>
                <w:sz w:val="16"/>
                <w:szCs w:val="16"/>
                <w:lang w:val="sr-Cyrl-CS"/>
              </w:rPr>
              <w:t>Osnovi računovodstva i poljoprivredno računovodstvo</w:t>
            </w:r>
          </w:p>
        </w:tc>
        <w:tc>
          <w:tcPr>
            <w:tcW w:w="3661" w:type="dxa"/>
            <w:gridSpan w:val="4"/>
            <w:vAlign w:val="center"/>
          </w:tcPr>
          <w:p w:rsidR="00DE4BB4" w:rsidRPr="00AC02AE" w:rsidRDefault="00DE4BB4" w:rsidP="00F56900">
            <w:pPr>
              <w:jc w:val="center"/>
              <w:rPr>
                <w:rFonts w:ascii="Arial" w:hAnsi="Arial" w:cs="Arial"/>
                <w:sz w:val="16"/>
                <w:szCs w:val="16"/>
              </w:rPr>
            </w:pPr>
            <w:r w:rsidRPr="00AC02AE">
              <w:rPr>
                <w:rFonts w:ascii="Arial" w:eastAsia="Times New Roman" w:hAnsi="Arial" w:cs="Arial"/>
                <w:sz w:val="16"/>
                <w:szCs w:val="16"/>
                <w:lang w:val="sr-Cyrl-CS"/>
              </w:rPr>
              <w:t>Savremena administracija, Beograd</w:t>
            </w:r>
          </w:p>
        </w:tc>
        <w:tc>
          <w:tcPr>
            <w:tcW w:w="1150" w:type="dxa"/>
            <w:vAlign w:val="center"/>
          </w:tcPr>
          <w:p w:rsidR="00DE4BB4" w:rsidRPr="00AC02AE" w:rsidRDefault="00DE4BB4" w:rsidP="00F56900">
            <w:pPr>
              <w:jc w:val="center"/>
              <w:rPr>
                <w:rFonts w:ascii="Arial" w:hAnsi="Arial" w:cs="Arial"/>
                <w:sz w:val="16"/>
                <w:szCs w:val="16"/>
              </w:rPr>
            </w:pPr>
            <w:r w:rsidRPr="00AC02AE">
              <w:rPr>
                <w:rFonts w:ascii="Arial" w:eastAsia="Times New Roman" w:hAnsi="Arial" w:cs="Arial"/>
                <w:sz w:val="16"/>
                <w:szCs w:val="16"/>
                <w:lang w:val="sr-Cyrl-CS"/>
              </w:rPr>
              <w:t>1991</w:t>
            </w:r>
          </w:p>
        </w:tc>
      </w:tr>
      <w:tr w:rsidR="00DE4BB4" w:rsidRPr="00AC02AE" w:rsidTr="00F56900">
        <w:tc>
          <w:tcPr>
            <w:tcW w:w="675" w:type="dxa"/>
            <w:vAlign w:val="center"/>
          </w:tcPr>
          <w:p w:rsidR="00DE4BB4" w:rsidRPr="00AC02AE" w:rsidRDefault="00DE4BB4" w:rsidP="00DE4BB4">
            <w:pPr>
              <w:pStyle w:val="ListParagraph"/>
              <w:numPr>
                <w:ilvl w:val="0"/>
                <w:numId w:val="7"/>
              </w:numPr>
              <w:jc w:val="center"/>
              <w:rPr>
                <w:rFonts w:ascii="Arial" w:hAnsi="Arial" w:cs="Arial"/>
                <w:sz w:val="16"/>
                <w:szCs w:val="16"/>
              </w:rPr>
            </w:pPr>
          </w:p>
        </w:tc>
        <w:tc>
          <w:tcPr>
            <w:tcW w:w="1701" w:type="dxa"/>
            <w:gridSpan w:val="2"/>
            <w:vAlign w:val="center"/>
          </w:tcPr>
          <w:p w:rsidR="00DE4BB4" w:rsidRPr="00AC02AE" w:rsidRDefault="00DE4BB4" w:rsidP="00F56900">
            <w:pPr>
              <w:jc w:val="center"/>
              <w:rPr>
                <w:rFonts w:ascii="Arial" w:eastAsia="Times New Roman" w:hAnsi="Arial" w:cs="Arial"/>
                <w:sz w:val="16"/>
                <w:szCs w:val="16"/>
                <w:lang w:val="sr-Cyrl-CS"/>
              </w:rPr>
            </w:pPr>
            <w:r w:rsidRPr="00AC02AE">
              <w:rPr>
                <w:rFonts w:ascii="Arial" w:eastAsia="Times New Roman" w:hAnsi="Arial" w:cs="Arial"/>
                <w:sz w:val="16"/>
                <w:szCs w:val="16"/>
                <w:lang w:val="sr-Cyrl-CS"/>
              </w:rPr>
              <w:t>Vukoje V</w:t>
            </w:r>
          </w:p>
        </w:tc>
        <w:tc>
          <w:tcPr>
            <w:tcW w:w="2435" w:type="dxa"/>
            <w:gridSpan w:val="3"/>
            <w:vAlign w:val="center"/>
          </w:tcPr>
          <w:p w:rsidR="00DE4BB4" w:rsidRPr="00AC02AE" w:rsidRDefault="00DE4BB4" w:rsidP="00F56900">
            <w:pPr>
              <w:ind w:left="360"/>
              <w:rPr>
                <w:rFonts w:ascii="Arial" w:eastAsia="Times New Roman" w:hAnsi="Arial" w:cs="Arial"/>
                <w:sz w:val="16"/>
                <w:szCs w:val="16"/>
                <w:lang w:val="sr-Cyrl-CS"/>
              </w:rPr>
            </w:pPr>
            <w:r w:rsidRPr="00AC02AE">
              <w:rPr>
                <w:rFonts w:ascii="Arial" w:eastAsia="Times New Roman" w:hAnsi="Arial" w:cs="Arial"/>
                <w:sz w:val="16"/>
                <w:szCs w:val="16"/>
                <w:lang w:val="sr-Cyrl-CS"/>
              </w:rPr>
              <w:t xml:space="preserve">Računovodstvo </w:t>
            </w:r>
            <w:proofErr w:type="spellStart"/>
            <w:r w:rsidRPr="00AC02AE">
              <w:rPr>
                <w:rFonts w:ascii="Arial" w:eastAsia="Times New Roman" w:hAnsi="Arial" w:cs="Arial"/>
                <w:sz w:val="16"/>
                <w:szCs w:val="16"/>
                <w:lang w:val="sr-Cyrl-CS"/>
              </w:rPr>
              <w:t>poljoporivrednih</w:t>
            </w:r>
            <w:proofErr w:type="spellEnd"/>
            <w:r w:rsidRPr="00AC02AE">
              <w:rPr>
                <w:rFonts w:ascii="Arial" w:eastAsia="Times New Roman" w:hAnsi="Arial" w:cs="Arial"/>
                <w:sz w:val="16"/>
                <w:szCs w:val="16"/>
                <w:lang w:val="sr-Cyrl-CS"/>
              </w:rPr>
              <w:t xml:space="preserve"> gazdinstava- </w:t>
            </w:r>
            <w:r w:rsidRPr="00AC02AE">
              <w:rPr>
                <w:rFonts w:ascii="Arial" w:eastAsia="Times New Roman" w:hAnsi="Arial" w:cs="Arial"/>
                <w:i/>
                <w:sz w:val="16"/>
                <w:szCs w:val="16"/>
                <w:lang w:val="sr-Cyrl-CS"/>
              </w:rPr>
              <w:t>praktikum</w:t>
            </w:r>
            <w:r w:rsidRPr="00AC02AE">
              <w:rPr>
                <w:rFonts w:ascii="Arial" w:eastAsia="Times New Roman" w:hAnsi="Arial" w:cs="Arial"/>
                <w:sz w:val="16"/>
                <w:szCs w:val="16"/>
                <w:lang w:val="sr-Cyrl-CS"/>
              </w:rPr>
              <w:t xml:space="preserve"> </w:t>
            </w:r>
          </w:p>
        </w:tc>
        <w:tc>
          <w:tcPr>
            <w:tcW w:w="3661" w:type="dxa"/>
            <w:gridSpan w:val="4"/>
            <w:vAlign w:val="center"/>
          </w:tcPr>
          <w:p w:rsidR="00DE4BB4" w:rsidRPr="00AC02AE" w:rsidRDefault="00DE4BB4" w:rsidP="00F56900">
            <w:pPr>
              <w:ind w:left="360"/>
              <w:rPr>
                <w:rFonts w:ascii="Arial" w:eastAsia="Times New Roman" w:hAnsi="Arial" w:cs="Arial"/>
                <w:sz w:val="16"/>
                <w:szCs w:val="16"/>
                <w:lang w:val="sr-Cyrl-CS"/>
              </w:rPr>
            </w:pPr>
            <w:r w:rsidRPr="00AC02AE">
              <w:rPr>
                <w:rFonts w:ascii="Arial" w:eastAsia="Times New Roman" w:hAnsi="Arial" w:cs="Arial"/>
                <w:sz w:val="16"/>
                <w:szCs w:val="16"/>
                <w:lang w:val="sr-Cyrl-CS"/>
              </w:rPr>
              <w:t>Poljoprivredni fakultet, N. Sad</w:t>
            </w:r>
          </w:p>
        </w:tc>
        <w:tc>
          <w:tcPr>
            <w:tcW w:w="1150" w:type="dxa"/>
            <w:vAlign w:val="center"/>
          </w:tcPr>
          <w:p w:rsidR="00DE4BB4" w:rsidRPr="00AC02AE" w:rsidRDefault="00DE4BB4" w:rsidP="00F56900">
            <w:pPr>
              <w:jc w:val="center"/>
              <w:rPr>
                <w:rFonts w:ascii="Arial" w:eastAsia="Times New Roman" w:hAnsi="Arial" w:cs="Arial"/>
                <w:sz w:val="16"/>
                <w:szCs w:val="16"/>
                <w:lang w:val="sr-Cyrl-CS"/>
              </w:rPr>
            </w:pPr>
            <w:r w:rsidRPr="00AC02AE">
              <w:rPr>
                <w:rFonts w:ascii="Arial" w:eastAsia="Times New Roman" w:hAnsi="Arial" w:cs="Arial"/>
                <w:sz w:val="16"/>
                <w:szCs w:val="16"/>
                <w:lang w:val="sr-Cyrl-CS"/>
              </w:rPr>
              <w:t>2011</w:t>
            </w:r>
          </w:p>
        </w:tc>
      </w:tr>
      <w:tr w:rsidR="00DE4BB4" w:rsidRPr="00AC02AE" w:rsidTr="00F56900">
        <w:tc>
          <w:tcPr>
            <w:tcW w:w="675" w:type="dxa"/>
            <w:vAlign w:val="center"/>
          </w:tcPr>
          <w:p w:rsidR="00DE4BB4" w:rsidRPr="00AC02AE" w:rsidRDefault="00DE4BB4" w:rsidP="00DE4BB4">
            <w:pPr>
              <w:pStyle w:val="ListParagraph"/>
              <w:numPr>
                <w:ilvl w:val="0"/>
                <w:numId w:val="7"/>
              </w:numPr>
              <w:jc w:val="center"/>
              <w:rPr>
                <w:rFonts w:ascii="Arial" w:hAnsi="Arial" w:cs="Arial"/>
                <w:sz w:val="16"/>
                <w:szCs w:val="16"/>
              </w:rPr>
            </w:pPr>
          </w:p>
        </w:tc>
        <w:tc>
          <w:tcPr>
            <w:tcW w:w="1701" w:type="dxa"/>
            <w:gridSpan w:val="2"/>
            <w:vAlign w:val="center"/>
          </w:tcPr>
          <w:p w:rsidR="00DE4BB4" w:rsidRPr="00AC02AE" w:rsidRDefault="00DE4BB4" w:rsidP="00F56900">
            <w:pPr>
              <w:jc w:val="center"/>
              <w:rPr>
                <w:rFonts w:ascii="Arial" w:eastAsia="Times New Roman" w:hAnsi="Arial" w:cs="Arial"/>
                <w:sz w:val="16"/>
                <w:szCs w:val="16"/>
              </w:rPr>
            </w:pPr>
            <w:r w:rsidRPr="00AC02AE">
              <w:rPr>
                <w:rFonts w:ascii="Arial" w:eastAsia="Times New Roman" w:hAnsi="Arial" w:cs="Arial"/>
                <w:sz w:val="16"/>
                <w:szCs w:val="16"/>
              </w:rPr>
              <w:t>Group of authors</w:t>
            </w:r>
          </w:p>
        </w:tc>
        <w:tc>
          <w:tcPr>
            <w:tcW w:w="2435" w:type="dxa"/>
            <w:gridSpan w:val="3"/>
            <w:vAlign w:val="center"/>
          </w:tcPr>
          <w:p w:rsidR="00DE4BB4" w:rsidRPr="00FA2B09" w:rsidRDefault="00DE4BB4" w:rsidP="00F56900">
            <w:pPr>
              <w:ind w:left="360"/>
              <w:rPr>
                <w:rFonts w:ascii="Arial" w:eastAsia="Times New Roman" w:hAnsi="Arial" w:cs="Arial"/>
                <w:sz w:val="14"/>
                <w:szCs w:val="14"/>
                <w:lang w:val="sr-Cyrl-CS"/>
              </w:rPr>
            </w:pPr>
            <w:r w:rsidRPr="00FA2B09">
              <w:rPr>
                <w:rFonts w:ascii="Arial" w:eastAsia="Times New Roman" w:hAnsi="Arial" w:cs="Arial"/>
                <w:sz w:val="14"/>
                <w:szCs w:val="14"/>
                <w:lang w:val="ru-RU"/>
              </w:rPr>
              <w:t>Primena novog kontnog okvira za preduzeća i zadruge prema MRS, SRRS</w:t>
            </w:r>
          </w:p>
        </w:tc>
        <w:tc>
          <w:tcPr>
            <w:tcW w:w="3661" w:type="dxa"/>
            <w:gridSpan w:val="4"/>
            <w:vAlign w:val="center"/>
          </w:tcPr>
          <w:p w:rsidR="00DE4BB4" w:rsidRPr="00AC02AE" w:rsidRDefault="00DE4BB4" w:rsidP="00F56900">
            <w:pPr>
              <w:ind w:left="360"/>
              <w:rPr>
                <w:rFonts w:ascii="Arial" w:eastAsia="Times New Roman" w:hAnsi="Arial" w:cs="Arial"/>
                <w:sz w:val="16"/>
                <w:szCs w:val="16"/>
              </w:rPr>
            </w:pPr>
            <w:r w:rsidRPr="00AC02AE">
              <w:rPr>
                <w:rFonts w:ascii="Arial" w:eastAsia="Times New Roman" w:hAnsi="Arial" w:cs="Arial"/>
                <w:sz w:val="16"/>
                <w:szCs w:val="16"/>
                <w:lang w:val="ru-RU"/>
              </w:rPr>
              <w:t>SRRS, Beograd</w:t>
            </w:r>
          </w:p>
        </w:tc>
        <w:tc>
          <w:tcPr>
            <w:tcW w:w="1150" w:type="dxa"/>
            <w:vAlign w:val="center"/>
          </w:tcPr>
          <w:p w:rsidR="00DE4BB4" w:rsidRPr="00AC02AE" w:rsidRDefault="00DE4BB4" w:rsidP="00F56900">
            <w:pPr>
              <w:jc w:val="center"/>
              <w:rPr>
                <w:rFonts w:ascii="Arial" w:eastAsia="Times New Roman" w:hAnsi="Arial" w:cs="Arial"/>
                <w:sz w:val="16"/>
                <w:szCs w:val="16"/>
                <w:lang w:val="sr-Cyrl-CS"/>
              </w:rPr>
            </w:pPr>
            <w:r w:rsidRPr="00AC02AE">
              <w:rPr>
                <w:rFonts w:ascii="Arial" w:eastAsia="Times New Roman" w:hAnsi="Arial" w:cs="Arial"/>
                <w:sz w:val="16"/>
                <w:szCs w:val="16"/>
                <w:lang w:val="ru-RU"/>
              </w:rPr>
              <w:t>2007</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A59F7"/>
    <w:rsid w:val="001E39C4"/>
    <w:rsid w:val="001F3F5D"/>
    <w:rsid w:val="00214F8E"/>
    <w:rsid w:val="00283CCD"/>
    <w:rsid w:val="002A61A2"/>
    <w:rsid w:val="00461E71"/>
    <w:rsid w:val="004C0AD7"/>
    <w:rsid w:val="004E744F"/>
    <w:rsid w:val="00576F37"/>
    <w:rsid w:val="007D508E"/>
    <w:rsid w:val="007E2923"/>
    <w:rsid w:val="00894D58"/>
    <w:rsid w:val="00945FD2"/>
    <w:rsid w:val="00A501B6"/>
    <w:rsid w:val="00A951BA"/>
    <w:rsid w:val="00B62D45"/>
    <w:rsid w:val="00BB431A"/>
    <w:rsid w:val="00D20CAF"/>
    <w:rsid w:val="00D36180"/>
    <w:rsid w:val="00DE4BB4"/>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2015-01-22T07:56:00Z</dcterms:created>
  <dcterms:modified xsi:type="dcterms:W3CDTF">2015-01-22T07:56:00Z</dcterms:modified>
</cp:coreProperties>
</file>